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64A" w:rsidRPr="00723562" w:rsidRDefault="0075264A" w:rsidP="0000602F">
      <w:pPr>
        <w:spacing w:line="360" w:lineRule="auto"/>
        <w:jc w:val="both"/>
      </w:pPr>
      <w:r w:rsidRPr="00723562">
        <w:rPr>
          <w:b/>
        </w:rPr>
        <w:t>Título:</w:t>
      </w:r>
      <w:r w:rsidRPr="00723562">
        <w:t xml:space="preserve"> Caracterización sociodemográfica de niños con trastornos específicos del aprendizaje en la Ciudad de Man</w:t>
      </w:r>
      <w:bookmarkStart w:id="0" w:name="_GoBack"/>
      <w:bookmarkEnd w:id="0"/>
      <w:r w:rsidRPr="00723562">
        <w:t xml:space="preserve">ta, República del Ecuador. </w:t>
      </w:r>
    </w:p>
    <w:p w:rsidR="004F6DEF" w:rsidRDefault="004F6DEF" w:rsidP="0000602F">
      <w:pPr>
        <w:spacing w:line="360" w:lineRule="auto"/>
        <w:jc w:val="both"/>
        <w:rPr>
          <w:b/>
          <w:lang w:val="en-US"/>
        </w:rPr>
      </w:pPr>
    </w:p>
    <w:p w:rsidR="0075264A" w:rsidRPr="00723562" w:rsidRDefault="0075264A" w:rsidP="0000602F">
      <w:pPr>
        <w:spacing w:line="360" w:lineRule="auto"/>
        <w:jc w:val="both"/>
        <w:rPr>
          <w:lang w:val="en-US"/>
        </w:rPr>
      </w:pPr>
      <w:r w:rsidRPr="00723562">
        <w:rPr>
          <w:b/>
          <w:lang w:val="en-US"/>
        </w:rPr>
        <w:t>Title:</w:t>
      </w:r>
      <w:r w:rsidRPr="00723562">
        <w:rPr>
          <w:lang w:val="en-US"/>
        </w:rPr>
        <w:t xml:space="preserve"> Sociodemographic characterization of child with specific learning disorder in Manta city, Ecuador Republic.</w:t>
      </w:r>
    </w:p>
    <w:p w:rsidR="004F6DEF" w:rsidRDefault="004F6DEF" w:rsidP="0000602F">
      <w:pPr>
        <w:spacing w:line="360" w:lineRule="auto"/>
        <w:jc w:val="both"/>
        <w:rPr>
          <w:b/>
        </w:rPr>
      </w:pPr>
    </w:p>
    <w:p w:rsidR="0075264A" w:rsidRPr="00723562" w:rsidRDefault="0075264A" w:rsidP="0000602F">
      <w:pPr>
        <w:spacing w:line="360" w:lineRule="auto"/>
        <w:jc w:val="both"/>
        <w:rPr>
          <w:b/>
        </w:rPr>
      </w:pPr>
      <w:r w:rsidRPr="00723562">
        <w:rPr>
          <w:b/>
        </w:rPr>
        <w:t>R</w:t>
      </w:r>
      <w:r w:rsidR="004F6DEF" w:rsidRPr="00723562">
        <w:rPr>
          <w:b/>
        </w:rPr>
        <w:t>esumen</w:t>
      </w:r>
    </w:p>
    <w:p w:rsidR="0075264A" w:rsidRPr="00723562" w:rsidRDefault="003724B5" w:rsidP="0000602F">
      <w:pPr>
        <w:spacing w:line="360" w:lineRule="auto"/>
        <w:jc w:val="both"/>
      </w:pPr>
      <w:r>
        <w:t>Fue caracterizada sociodemográficamente una</w:t>
      </w:r>
      <w:r w:rsidRPr="00723562">
        <w:t xml:space="preserve"> población de niños con trastornos específicos del aprendizaje</w:t>
      </w:r>
      <w:r>
        <w:t xml:space="preserve"> mediante un</w:t>
      </w:r>
      <w:r w:rsidR="00036297" w:rsidRPr="00723562">
        <w:t xml:space="preserve"> estudio </w:t>
      </w:r>
      <w:r>
        <w:t>cuantitativo</w:t>
      </w:r>
      <w:r w:rsidR="000433F9">
        <w:t>-</w:t>
      </w:r>
      <w:r w:rsidRPr="00723562">
        <w:t>descriptivo-transversal</w:t>
      </w:r>
      <w:r w:rsidR="001D44C4" w:rsidRPr="00723562">
        <w:t>.</w:t>
      </w:r>
      <w:r w:rsidR="00A70432" w:rsidRPr="00723562">
        <w:t xml:space="preserve"> </w:t>
      </w:r>
      <w:r w:rsidR="003C1EF1" w:rsidRPr="00723562">
        <w:t>P</w:t>
      </w:r>
      <w:r w:rsidR="00A05B4D" w:rsidRPr="00723562">
        <w:t>articip</w:t>
      </w:r>
      <w:r>
        <w:t>aron</w:t>
      </w:r>
      <w:r w:rsidR="00A05B4D" w:rsidRPr="00723562">
        <w:t xml:space="preserve"> niños de </w:t>
      </w:r>
      <w:r>
        <w:t>cuarto</w:t>
      </w:r>
      <w:r w:rsidR="00A05B4D" w:rsidRPr="00723562">
        <w:t xml:space="preserve"> a </w:t>
      </w:r>
      <w:r>
        <w:t>séptimo</w:t>
      </w:r>
      <w:r w:rsidR="00A05B4D" w:rsidRPr="00723562">
        <w:t xml:space="preserve"> grado pertenecientes a </w:t>
      </w:r>
      <w:r>
        <w:t>tres</w:t>
      </w:r>
      <w:r w:rsidR="00A05B4D" w:rsidRPr="00723562">
        <w:t xml:space="preserve"> </w:t>
      </w:r>
      <w:r>
        <w:t>u</w:t>
      </w:r>
      <w:r w:rsidR="00A05B4D" w:rsidRPr="00723562">
        <w:t xml:space="preserve">nidades </w:t>
      </w:r>
      <w:r>
        <w:t>e</w:t>
      </w:r>
      <w:r w:rsidR="00A05B4D" w:rsidRPr="00723562">
        <w:t xml:space="preserve">ducativas de Manta, Ecuador. </w:t>
      </w:r>
      <w:r w:rsidR="003C1EF1" w:rsidRPr="00723562">
        <w:t xml:space="preserve">Los datos </w:t>
      </w:r>
      <w:r>
        <w:t>se</w:t>
      </w:r>
      <w:r w:rsidR="003C1EF1" w:rsidRPr="00723562">
        <w:t xml:space="preserve"> obt</w:t>
      </w:r>
      <w:r>
        <w:t>uvieron</w:t>
      </w:r>
      <w:r w:rsidR="003C1EF1" w:rsidRPr="00723562">
        <w:t xml:space="preserve"> de </w:t>
      </w:r>
      <w:r w:rsidR="00A05B4D" w:rsidRPr="00723562">
        <w:t xml:space="preserve">reportes docentes </w:t>
      </w:r>
      <w:r>
        <w:t>e</w:t>
      </w:r>
      <w:r w:rsidR="00A05B4D" w:rsidRPr="00723562">
        <w:t xml:space="preserve"> informes de evaluación psicológica y desempeño escolar</w:t>
      </w:r>
      <w:r w:rsidR="003C1EF1" w:rsidRPr="00723562">
        <w:t>.</w:t>
      </w:r>
      <w:r w:rsidR="00A05B4D" w:rsidRPr="00723562">
        <w:t xml:space="preserve"> </w:t>
      </w:r>
      <w:r>
        <w:t>Se utilizaron p</w:t>
      </w:r>
      <w:r w:rsidR="00A05B4D" w:rsidRPr="00723562">
        <w:t>ruebas de estadística descriptiva.</w:t>
      </w:r>
      <w:r w:rsidR="003C1EF1" w:rsidRPr="00723562">
        <w:rPr>
          <w:b/>
        </w:rPr>
        <w:t xml:space="preserve"> </w:t>
      </w:r>
      <w:r w:rsidR="00A70432" w:rsidRPr="00723562">
        <w:rPr>
          <w:bCs/>
        </w:rPr>
        <w:t>Se obtuvo que el 13.2% de l</w:t>
      </w:r>
      <w:r>
        <w:rPr>
          <w:bCs/>
        </w:rPr>
        <w:t>os niños</w:t>
      </w:r>
      <w:r w:rsidR="00A70432" w:rsidRPr="00723562">
        <w:rPr>
          <w:bCs/>
        </w:rPr>
        <w:t xml:space="preserve"> present</w:t>
      </w:r>
      <w:r w:rsidR="00F13388" w:rsidRPr="00723562">
        <w:rPr>
          <w:bCs/>
        </w:rPr>
        <w:t>ó</w:t>
      </w:r>
      <w:r w:rsidR="00A70432" w:rsidRPr="00723562">
        <w:rPr>
          <w:bCs/>
        </w:rPr>
        <w:t xml:space="preserve"> </w:t>
      </w:r>
      <w:r w:rsidR="00A70432" w:rsidRPr="00723562">
        <w:t>trastornos específicos del aprendizaje</w:t>
      </w:r>
      <w:r w:rsidR="00AC5D23" w:rsidRPr="00723562">
        <w:t>, con profundidad</w:t>
      </w:r>
      <w:r>
        <w:t xml:space="preserve"> variable</w:t>
      </w:r>
      <w:r w:rsidR="00A70432" w:rsidRPr="00723562">
        <w:t>.</w:t>
      </w:r>
      <w:r w:rsidR="00AC5D23" w:rsidRPr="00723562">
        <w:t xml:space="preserve"> </w:t>
      </w:r>
      <w:r w:rsidR="00F13388" w:rsidRPr="00723562">
        <w:t>E</w:t>
      </w:r>
      <w:r w:rsidR="00A70432" w:rsidRPr="00723562">
        <w:t xml:space="preserve">l 14.3% </w:t>
      </w:r>
      <w:r w:rsidR="00AC5D23" w:rsidRPr="00723562">
        <w:t xml:space="preserve">mostró </w:t>
      </w:r>
      <w:r w:rsidR="00A70432" w:rsidRPr="00723562">
        <w:t>dificultades para el razonamiento matemático</w:t>
      </w:r>
      <w:r w:rsidR="00AC5D23" w:rsidRPr="00723562">
        <w:t>. E</w:t>
      </w:r>
      <w:r w:rsidR="00A70432" w:rsidRPr="00723562">
        <w:t xml:space="preserve">l 37.8% </w:t>
      </w:r>
      <w:r w:rsidR="00AC5D23" w:rsidRPr="00723562">
        <w:t>mostró</w:t>
      </w:r>
      <w:r w:rsidR="00A70432" w:rsidRPr="00723562">
        <w:t xml:space="preserve"> dificulta</w:t>
      </w:r>
      <w:r w:rsidR="00AC5D23" w:rsidRPr="00723562">
        <w:t>des para la lectura. E</w:t>
      </w:r>
      <w:r w:rsidR="00A70432" w:rsidRPr="00723562">
        <w:t xml:space="preserve">l 19.4% </w:t>
      </w:r>
      <w:r w:rsidR="00AC5D23" w:rsidRPr="00723562">
        <w:t>mostró</w:t>
      </w:r>
      <w:r w:rsidR="00A70432" w:rsidRPr="00723562">
        <w:t xml:space="preserve"> dificultades para la escrit</w:t>
      </w:r>
      <w:r w:rsidR="00AC5D23" w:rsidRPr="00723562">
        <w:t>ura</w:t>
      </w:r>
      <w:r w:rsidR="00A70432" w:rsidRPr="00723562">
        <w:t xml:space="preserve">. </w:t>
      </w:r>
      <w:r>
        <w:t>E</w:t>
      </w:r>
      <w:r w:rsidR="00AC5D23" w:rsidRPr="00723562">
        <w:t>l</w:t>
      </w:r>
      <w:r w:rsidR="00A70432" w:rsidRPr="00723562">
        <w:t xml:space="preserve"> 28.6% </w:t>
      </w:r>
      <w:r w:rsidR="00AC5D23" w:rsidRPr="00723562">
        <w:t>mostró</w:t>
      </w:r>
      <w:r w:rsidR="00A70432" w:rsidRPr="00723562">
        <w:t xml:space="preserve"> dificultades en más de un área académica.</w:t>
      </w:r>
      <w:r w:rsidR="00F13388" w:rsidRPr="00723562">
        <w:t xml:space="preserve"> </w:t>
      </w:r>
      <w:r w:rsidR="004F6DEF" w:rsidRPr="00723562">
        <w:t>Estos resultados</w:t>
      </w:r>
      <w:r w:rsidR="00F13388" w:rsidRPr="00723562">
        <w:t xml:space="preserve"> resaltan </w:t>
      </w:r>
      <w:r w:rsidR="003C28F6" w:rsidRPr="00723562">
        <w:t>la transcendencia del problema</w:t>
      </w:r>
      <w:r w:rsidR="00F13388" w:rsidRPr="00723562">
        <w:t>.</w:t>
      </w:r>
    </w:p>
    <w:p w:rsidR="0075264A" w:rsidRPr="00723562" w:rsidRDefault="0075264A" w:rsidP="0000602F">
      <w:pPr>
        <w:spacing w:line="360" w:lineRule="auto"/>
        <w:jc w:val="both"/>
        <w:rPr>
          <w:b/>
          <w:lang w:val="es-EC"/>
        </w:rPr>
      </w:pPr>
      <w:r w:rsidRPr="00723562">
        <w:rPr>
          <w:b/>
        </w:rPr>
        <w:t>Palabras clave.</w:t>
      </w:r>
      <w:r w:rsidRPr="00723562">
        <w:t xml:space="preserve"> Caracterización sociodemográfica; Dificultades para el aprendizaje de la lectura; Dificultades para el aprendizaje de las matemáticas; </w:t>
      </w:r>
      <w:r w:rsidR="00F57777" w:rsidRPr="00723562">
        <w:t>Dificultades para el aprendizaje de la escritura; Trastornos</w:t>
      </w:r>
      <w:r w:rsidRPr="00723562">
        <w:t xml:space="preserve"> específicos del aprendizaje.</w:t>
      </w:r>
    </w:p>
    <w:p w:rsidR="004F6DEF" w:rsidRDefault="004F6DEF" w:rsidP="0000602F">
      <w:pPr>
        <w:spacing w:line="360" w:lineRule="auto"/>
        <w:jc w:val="both"/>
        <w:rPr>
          <w:b/>
          <w:lang w:val="en-US"/>
        </w:rPr>
      </w:pPr>
    </w:p>
    <w:p w:rsidR="0075264A" w:rsidRPr="00723562" w:rsidRDefault="0075264A" w:rsidP="0000602F">
      <w:pPr>
        <w:spacing w:line="360" w:lineRule="auto"/>
        <w:jc w:val="both"/>
        <w:rPr>
          <w:b/>
          <w:lang w:val="en-US"/>
        </w:rPr>
      </w:pPr>
      <w:r w:rsidRPr="00723562">
        <w:rPr>
          <w:b/>
          <w:lang w:val="en-US"/>
        </w:rPr>
        <w:t>A</w:t>
      </w:r>
      <w:r w:rsidR="004F6DEF" w:rsidRPr="00723562">
        <w:rPr>
          <w:b/>
          <w:lang w:val="en-US"/>
        </w:rPr>
        <w:t>bstract</w:t>
      </w:r>
    </w:p>
    <w:p w:rsidR="008C2DAE" w:rsidRPr="00723562" w:rsidRDefault="000433F9" w:rsidP="0000602F">
      <w:pPr>
        <w:spacing w:line="360" w:lineRule="auto"/>
        <w:jc w:val="both"/>
        <w:rPr>
          <w:lang w:val="en-US"/>
        </w:rPr>
      </w:pPr>
      <w:r>
        <w:rPr>
          <w:lang w:val="en-US"/>
        </w:rPr>
        <w:t>Was</w:t>
      </w:r>
      <w:r w:rsidR="009A1507" w:rsidRPr="00723562">
        <w:rPr>
          <w:lang w:val="en-US"/>
        </w:rPr>
        <w:t xml:space="preserve"> describe</w:t>
      </w:r>
      <w:r>
        <w:rPr>
          <w:lang w:val="en-US"/>
        </w:rPr>
        <w:t>d</w:t>
      </w:r>
      <w:r w:rsidR="009A1507" w:rsidRPr="00723562">
        <w:rPr>
          <w:lang w:val="en-US"/>
        </w:rPr>
        <w:t xml:space="preserve"> the sociodemographic characteristic in the population of student with specific learning disorder</w:t>
      </w:r>
      <w:r>
        <w:rPr>
          <w:lang w:val="en-US"/>
        </w:rPr>
        <w:t xml:space="preserve"> by means of</w:t>
      </w:r>
      <w:r w:rsidR="009A1507" w:rsidRPr="00723562">
        <w:rPr>
          <w:lang w:val="en-US"/>
        </w:rPr>
        <w:t xml:space="preserve"> a quantitative</w:t>
      </w:r>
      <w:r>
        <w:rPr>
          <w:lang w:val="en-US"/>
        </w:rPr>
        <w:t>-</w:t>
      </w:r>
      <w:r w:rsidR="009A1507" w:rsidRPr="00723562">
        <w:rPr>
          <w:lang w:val="en-US"/>
        </w:rPr>
        <w:t>transversal</w:t>
      </w:r>
      <w:r>
        <w:rPr>
          <w:lang w:val="en-US"/>
        </w:rPr>
        <w:t>-descriptive study, with the</w:t>
      </w:r>
      <w:r w:rsidR="009A1507" w:rsidRPr="00723562">
        <w:rPr>
          <w:lang w:val="en-US"/>
        </w:rPr>
        <w:t xml:space="preserve"> </w:t>
      </w:r>
      <w:r>
        <w:rPr>
          <w:lang w:val="en-US"/>
        </w:rPr>
        <w:t>p</w:t>
      </w:r>
      <w:r w:rsidRPr="00723562">
        <w:rPr>
          <w:lang w:val="en-US"/>
        </w:rPr>
        <w:t>articipa</w:t>
      </w:r>
      <w:r>
        <w:rPr>
          <w:lang w:val="en-US"/>
        </w:rPr>
        <w:t>tion</w:t>
      </w:r>
      <w:r w:rsidR="009A1507" w:rsidRPr="00723562">
        <w:rPr>
          <w:lang w:val="en-US"/>
        </w:rPr>
        <w:t xml:space="preserve"> </w:t>
      </w:r>
      <w:r>
        <w:rPr>
          <w:lang w:val="en-US"/>
        </w:rPr>
        <w:t>of a</w:t>
      </w:r>
      <w:r w:rsidR="009A1507" w:rsidRPr="00723562">
        <w:rPr>
          <w:lang w:val="en-US"/>
        </w:rPr>
        <w:t xml:space="preserve"> population of child from fourth grade to seventeen grade of elementary </w:t>
      </w:r>
      <w:r w:rsidRPr="00723562">
        <w:rPr>
          <w:lang w:val="en-US"/>
        </w:rPr>
        <w:t>education that</w:t>
      </w:r>
      <w:r w:rsidR="009A1507" w:rsidRPr="00723562">
        <w:rPr>
          <w:lang w:val="en-US"/>
        </w:rPr>
        <w:t xml:space="preserve"> </w:t>
      </w:r>
      <w:r w:rsidRPr="00723562">
        <w:rPr>
          <w:lang w:val="en-US"/>
        </w:rPr>
        <w:t>is</w:t>
      </w:r>
      <w:r w:rsidR="009A1507" w:rsidRPr="00723562">
        <w:rPr>
          <w:lang w:val="en-US"/>
        </w:rPr>
        <w:t xml:space="preserve"> student in </w:t>
      </w:r>
      <w:r>
        <w:rPr>
          <w:lang w:val="en-US"/>
        </w:rPr>
        <w:t>three</w:t>
      </w:r>
      <w:r w:rsidR="009A1507" w:rsidRPr="00723562">
        <w:rPr>
          <w:lang w:val="en-US"/>
        </w:rPr>
        <w:t xml:space="preserve"> primary </w:t>
      </w:r>
      <w:r w:rsidRPr="00723562">
        <w:rPr>
          <w:lang w:val="en-US"/>
        </w:rPr>
        <w:t>school of</w:t>
      </w:r>
      <w:r w:rsidR="009A1507" w:rsidRPr="00723562">
        <w:rPr>
          <w:lang w:val="en-US"/>
        </w:rPr>
        <w:t xml:space="preserve"> Manta City, Ecuador</w:t>
      </w:r>
      <w:r w:rsidR="00E567D4" w:rsidRPr="00723562">
        <w:rPr>
          <w:lang w:val="en-US"/>
        </w:rPr>
        <w:t>.</w:t>
      </w:r>
      <w:r w:rsidR="008C2DAE" w:rsidRPr="00723562">
        <w:rPr>
          <w:lang w:val="en-US"/>
        </w:rPr>
        <w:t xml:space="preserve"> The dates were obtained from the reports of teachers, and from informs of psychological evaluation. </w:t>
      </w:r>
      <w:r w:rsidRPr="00723562">
        <w:rPr>
          <w:lang w:val="en-US"/>
        </w:rPr>
        <w:t>W</w:t>
      </w:r>
      <w:r w:rsidR="008C2DAE" w:rsidRPr="00723562">
        <w:rPr>
          <w:lang w:val="en-US"/>
        </w:rPr>
        <w:t>as</w:t>
      </w:r>
      <w:r>
        <w:rPr>
          <w:lang w:val="en-US"/>
        </w:rPr>
        <w:t xml:space="preserve"> </w:t>
      </w:r>
      <w:r w:rsidR="00F16763">
        <w:rPr>
          <w:lang w:val="en-US"/>
        </w:rPr>
        <w:t xml:space="preserve">used </w:t>
      </w:r>
      <w:r w:rsidR="00F16763" w:rsidRPr="00723562">
        <w:rPr>
          <w:lang w:val="en-US"/>
        </w:rPr>
        <w:t>test</w:t>
      </w:r>
      <w:r w:rsidR="008C2DAE" w:rsidRPr="00723562">
        <w:rPr>
          <w:lang w:val="en-US"/>
        </w:rPr>
        <w:t xml:space="preserve"> of descriptive statistic. Was obtained that 13.2</w:t>
      </w:r>
      <w:r>
        <w:rPr>
          <w:lang w:val="en-US"/>
        </w:rPr>
        <w:t xml:space="preserve">% </w:t>
      </w:r>
      <w:r w:rsidR="008C2DAE" w:rsidRPr="00723562">
        <w:rPr>
          <w:lang w:val="en-US"/>
        </w:rPr>
        <w:t xml:space="preserve">of child show specific learning disorder, with different levels of intensity.  </w:t>
      </w:r>
      <w:r w:rsidR="00700355" w:rsidRPr="00723562">
        <w:rPr>
          <w:lang w:val="en-US"/>
        </w:rPr>
        <w:t>The 14.3</w:t>
      </w:r>
      <w:r>
        <w:rPr>
          <w:lang w:val="en-US"/>
        </w:rPr>
        <w:t>%</w:t>
      </w:r>
      <w:r w:rsidR="00700355" w:rsidRPr="00723562">
        <w:rPr>
          <w:lang w:val="en-US"/>
        </w:rPr>
        <w:t xml:space="preserve"> show learning disorder for mathematics. The 37.8</w:t>
      </w:r>
      <w:r w:rsidR="00F16763">
        <w:rPr>
          <w:lang w:val="en-US"/>
        </w:rPr>
        <w:t>%</w:t>
      </w:r>
      <w:r w:rsidR="00700355" w:rsidRPr="00723562">
        <w:rPr>
          <w:lang w:val="en-US"/>
        </w:rPr>
        <w:t xml:space="preserve"> show learning disorder for reading. The 19.4</w:t>
      </w:r>
      <w:r>
        <w:rPr>
          <w:lang w:val="en-US"/>
        </w:rPr>
        <w:t xml:space="preserve">% </w:t>
      </w:r>
      <w:r w:rsidR="00700355" w:rsidRPr="00723562">
        <w:rPr>
          <w:lang w:val="en-US"/>
        </w:rPr>
        <w:t>show learning disorder for writing. The 28.6</w:t>
      </w:r>
      <w:r>
        <w:rPr>
          <w:lang w:val="en-US"/>
        </w:rPr>
        <w:t xml:space="preserve">% </w:t>
      </w:r>
      <w:r w:rsidR="00700355" w:rsidRPr="00723562">
        <w:rPr>
          <w:lang w:val="en-US"/>
        </w:rPr>
        <w:t xml:space="preserve">show global learning disorder. Wherever show de transcendence of problem for develop of education system. </w:t>
      </w:r>
    </w:p>
    <w:p w:rsidR="0075264A" w:rsidRPr="00723562" w:rsidRDefault="0075264A" w:rsidP="0000602F">
      <w:pPr>
        <w:spacing w:line="360" w:lineRule="auto"/>
        <w:jc w:val="both"/>
        <w:rPr>
          <w:lang w:val="en-US"/>
        </w:rPr>
      </w:pPr>
      <w:r w:rsidRPr="00723562">
        <w:rPr>
          <w:b/>
          <w:lang w:val="en-US"/>
        </w:rPr>
        <w:lastRenderedPageBreak/>
        <w:t>Key words.</w:t>
      </w:r>
      <w:r w:rsidRPr="00723562">
        <w:rPr>
          <w:lang w:val="en-US"/>
        </w:rPr>
        <w:t xml:space="preserve"> Sociodemographic characterization; </w:t>
      </w:r>
      <w:r w:rsidR="00700355" w:rsidRPr="00723562">
        <w:rPr>
          <w:lang w:val="en-US"/>
        </w:rPr>
        <w:t>specific learning disorder for reading</w:t>
      </w:r>
      <w:r w:rsidRPr="00723562">
        <w:rPr>
          <w:lang w:val="en-US"/>
        </w:rPr>
        <w:t xml:space="preserve">; </w:t>
      </w:r>
      <w:r w:rsidR="00700355" w:rsidRPr="00723562">
        <w:rPr>
          <w:lang w:val="en-US"/>
        </w:rPr>
        <w:t>specific learning disorder for mathematics</w:t>
      </w:r>
      <w:r w:rsidRPr="00723562">
        <w:rPr>
          <w:lang w:val="en-US"/>
        </w:rPr>
        <w:t xml:space="preserve">; </w:t>
      </w:r>
      <w:r w:rsidR="00C77F3A" w:rsidRPr="00723562">
        <w:rPr>
          <w:lang w:val="en-US"/>
        </w:rPr>
        <w:t xml:space="preserve">difficulties for writer learning; </w:t>
      </w:r>
      <w:r w:rsidRPr="00723562">
        <w:rPr>
          <w:lang w:val="en-US"/>
        </w:rPr>
        <w:t>Specific learning disorder.</w:t>
      </w:r>
    </w:p>
    <w:p w:rsidR="004F6DEF" w:rsidRDefault="004F6DEF" w:rsidP="0000602F">
      <w:pPr>
        <w:spacing w:line="360" w:lineRule="auto"/>
        <w:rPr>
          <w:b/>
        </w:rPr>
      </w:pPr>
    </w:p>
    <w:p w:rsidR="00A63352" w:rsidRPr="00723562" w:rsidRDefault="0075264A" w:rsidP="0000602F">
      <w:pPr>
        <w:spacing w:line="360" w:lineRule="auto"/>
      </w:pPr>
      <w:r w:rsidRPr="00723562">
        <w:rPr>
          <w:b/>
        </w:rPr>
        <w:t>I</w:t>
      </w:r>
      <w:r w:rsidR="004F6DEF" w:rsidRPr="00723562">
        <w:rPr>
          <w:b/>
        </w:rPr>
        <w:t xml:space="preserve">ntroducción </w:t>
      </w:r>
    </w:p>
    <w:p w:rsidR="003C16BF" w:rsidRPr="00723562" w:rsidRDefault="00E31A6F" w:rsidP="0000602F">
      <w:pPr>
        <w:spacing w:line="360" w:lineRule="auto"/>
        <w:jc w:val="both"/>
      </w:pPr>
      <w:r w:rsidRPr="00723562">
        <w:t xml:space="preserve">Desde que a finales del siglo XIX se reportara en la literatura científica el caso de un estudiante con un rendimiento intelectual elevado, que al margen mostraba </w:t>
      </w:r>
      <w:r w:rsidR="002A073A" w:rsidRPr="00723562">
        <w:t xml:space="preserve">severas </w:t>
      </w:r>
      <w:r w:rsidRPr="00723562">
        <w:t>dificultades para el aprendizaje de la lectura,</w:t>
      </w:r>
      <w:r w:rsidR="003B2FEE" w:rsidRPr="00723562">
        <w:t xml:space="preserve"> los reportes de estudios sobre </w:t>
      </w:r>
      <w:r w:rsidR="00722A88" w:rsidRPr="00723562">
        <w:t xml:space="preserve">las dificultades para el desarrollo de habilidades académicas en presencia de una capacidad intelectual conservada, o como se le conoce actualmente, los </w:t>
      </w:r>
      <w:r w:rsidR="003B2FEE" w:rsidRPr="00723562">
        <w:rPr>
          <w:i/>
        </w:rPr>
        <w:t>problemas del aprendizaje escolar</w:t>
      </w:r>
      <w:r w:rsidR="003B2FEE" w:rsidRPr="00723562">
        <w:t>, han sido crecientes</w:t>
      </w:r>
      <w:r w:rsidR="00F82C14" w:rsidRPr="00723562">
        <w:t xml:space="preserve"> (Arias, 2003; </w:t>
      </w:r>
      <w:r w:rsidR="00F82C14" w:rsidRPr="00723562">
        <w:rPr>
          <w:lang w:val="es-EC"/>
        </w:rPr>
        <w:t xml:space="preserve">Bender, 2004; </w:t>
      </w:r>
      <w:r w:rsidR="00F82C14" w:rsidRPr="00723562">
        <w:t>García-Nonell, Rigau-Ratera, y Artigas-Pallarés, 2006)</w:t>
      </w:r>
      <w:r w:rsidR="006E6563" w:rsidRPr="00723562">
        <w:t xml:space="preserve">. Ello, incluso </w:t>
      </w:r>
      <w:r w:rsidR="002A073A" w:rsidRPr="00723562">
        <w:t>tomando en consideración</w:t>
      </w:r>
      <w:r w:rsidR="006E6563" w:rsidRPr="00723562">
        <w:t xml:space="preserve"> cuanto ha aumentado el índice de escolarización </w:t>
      </w:r>
      <w:r w:rsidR="002A073A" w:rsidRPr="00723562">
        <w:t xml:space="preserve">a nivel </w:t>
      </w:r>
      <w:r w:rsidR="006E6563" w:rsidRPr="00723562">
        <w:t>internacional en los últimos 50 años</w:t>
      </w:r>
      <w:r w:rsidR="003B2FEE" w:rsidRPr="00723562">
        <w:t xml:space="preserve">. </w:t>
      </w:r>
    </w:p>
    <w:p w:rsidR="003B2FEE" w:rsidRPr="00723562" w:rsidRDefault="00F4336F" w:rsidP="0000602F">
      <w:pPr>
        <w:spacing w:line="360" w:lineRule="auto"/>
        <w:jc w:val="both"/>
      </w:pPr>
      <w:r w:rsidRPr="00723562">
        <w:t>Tal es así</w:t>
      </w:r>
      <w:r w:rsidR="003B2FEE" w:rsidRPr="00723562">
        <w:t>, que hoy día podría afirmarse categóricamente, que los problemas del aprendizaje son la causa principal de</w:t>
      </w:r>
      <w:r w:rsidRPr="00723562">
        <w:t>l</w:t>
      </w:r>
      <w:r w:rsidR="003B2FEE" w:rsidRPr="00723562">
        <w:t xml:space="preserve"> fracaso escolar (</w:t>
      </w:r>
      <w:r w:rsidR="000C2477" w:rsidRPr="00723562">
        <w:t>González, Jiménez, García, Díaz, Rodríguez, y Crespo, 2010</w:t>
      </w:r>
      <w:r w:rsidR="001B3891" w:rsidRPr="00723562">
        <w:t xml:space="preserve">; </w:t>
      </w:r>
      <w:r w:rsidR="001B3891" w:rsidRPr="00723562">
        <w:rPr>
          <w:lang w:val="es-EC"/>
        </w:rPr>
        <w:t>Snowling, 2003</w:t>
      </w:r>
      <w:r w:rsidR="003B2FEE" w:rsidRPr="00723562">
        <w:t>), y se han convertido en un</w:t>
      </w:r>
      <w:r w:rsidR="00E601E8" w:rsidRPr="00723562">
        <w:t xml:space="preserve">o </w:t>
      </w:r>
      <w:r w:rsidR="003B2FEE" w:rsidRPr="00723562">
        <w:t xml:space="preserve">de los mayores retos </w:t>
      </w:r>
      <w:r w:rsidR="00694CF7" w:rsidRPr="00723562">
        <w:t>que a nivel internacional tienen</w:t>
      </w:r>
      <w:r w:rsidR="003B2FEE" w:rsidRPr="00723562">
        <w:t xml:space="preserve"> que enfrentar</w:t>
      </w:r>
      <w:r w:rsidR="00932504" w:rsidRPr="00723562">
        <w:t>,</w:t>
      </w:r>
      <w:r w:rsidR="003B2FEE" w:rsidRPr="00723562">
        <w:t xml:space="preserve"> </w:t>
      </w:r>
      <w:r w:rsidR="00694CF7" w:rsidRPr="00723562">
        <w:t xml:space="preserve">en los diferentes niveles de la enseñanza general, </w:t>
      </w:r>
      <w:r w:rsidR="003B2FEE" w:rsidRPr="00723562">
        <w:t xml:space="preserve">los </w:t>
      </w:r>
      <w:r w:rsidR="00694CF7" w:rsidRPr="00723562">
        <w:t>maestros</w:t>
      </w:r>
      <w:r w:rsidR="003B2FEE" w:rsidRPr="00723562">
        <w:t xml:space="preserve">, </w:t>
      </w:r>
      <w:r w:rsidR="00694CF7" w:rsidRPr="00723562">
        <w:t xml:space="preserve">los psicólogos, los pedagogos, </w:t>
      </w:r>
      <w:r w:rsidR="003B2FEE" w:rsidRPr="00723562">
        <w:t>y las autoridades educativas.</w:t>
      </w:r>
    </w:p>
    <w:p w:rsidR="006A049B" w:rsidRPr="00723562" w:rsidRDefault="003A5ECF" w:rsidP="0000602F">
      <w:pPr>
        <w:spacing w:line="360" w:lineRule="auto"/>
        <w:jc w:val="both"/>
      </w:pPr>
      <w:r w:rsidRPr="00723562">
        <w:t>Los</w:t>
      </w:r>
      <w:r w:rsidR="0085698D" w:rsidRPr="00723562">
        <w:t xml:space="preserve"> problemas del aprendizaje escolar pueden ser explicados por múltiples </w:t>
      </w:r>
      <w:r w:rsidR="00E601E8" w:rsidRPr="00723562">
        <w:t xml:space="preserve">factores. Las causas probables propuestas por </w:t>
      </w:r>
      <w:r w:rsidR="003C16BF" w:rsidRPr="00723562">
        <w:t xml:space="preserve">los </w:t>
      </w:r>
      <w:r w:rsidR="00E601E8" w:rsidRPr="00723562">
        <w:t>diferentes autores son variadas, y apelan a los más disímiles enfoques psicológicos o pedagógicos</w:t>
      </w:r>
      <w:r w:rsidR="003C16BF" w:rsidRPr="00723562">
        <w:t xml:space="preserve">; al punto que algunos autores consideran que </w:t>
      </w:r>
      <w:r w:rsidR="00E601E8" w:rsidRPr="00723562">
        <w:t>a las dificultades del aprendizaje pueden subyacer tantas causas como maneras distintas tienen estas de expresarse en cada</w:t>
      </w:r>
      <w:r w:rsidR="003C16BF" w:rsidRPr="00723562">
        <w:t xml:space="preserve"> caso particular (</w:t>
      </w:r>
      <w:r w:rsidR="00961E75" w:rsidRPr="00723562">
        <w:t xml:space="preserve">Eslava Cobos, Mejía de Eslava, Quintanar, y Solovieva, 2008; </w:t>
      </w:r>
      <w:r w:rsidR="00961E75" w:rsidRPr="00723562">
        <w:rPr>
          <w:lang w:val="es-EC"/>
        </w:rPr>
        <w:t>Johnson, 1995</w:t>
      </w:r>
      <w:r w:rsidR="006C1EAD" w:rsidRPr="00723562">
        <w:rPr>
          <w:lang w:val="es-EC"/>
        </w:rPr>
        <w:t>; Karande, 2005</w:t>
      </w:r>
      <w:r w:rsidR="008B0FD3" w:rsidRPr="00723562">
        <w:rPr>
          <w:lang w:val="es-EC"/>
        </w:rPr>
        <w:t>; Lagae, 2008</w:t>
      </w:r>
      <w:r w:rsidR="00615274" w:rsidRPr="00723562">
        <w:rPr>
          <w:lang w:val="es-EC"/>
        </w:rPr>
        <w:t xml:space="preserve">; </w:t>
      </w:r>
      <w:r w:rsidR="00615274" w:rsidRPr="00723562">
        <w:t>Soriano, Miranda, y Cuenca, 1999</w:t>
      </w:r>
      <w:r w:rsidR="00961E75" w:rsidRPr="00723562">
        <w:t>)</w:t>
      </w:r>
      <w:r w:rsidR="003C16BF" w:rsidRPr="00723562">
        <w:t xml:space="preserve">. Tales criterios no dejan de tener una veracidad irrebatible. </w:t>
      </w:r>
    </w:p>
    <w:p w:rsidR="003C16BF" w:rsidRPr="00723562" w:rsidRDefault="003C16BF" w:rsidP="0000602F">
      <w:pPr>
        <w:spacing w:line="360" w:lineRule="auto"/>
        <w:jc w:val="both"/>
      </w:pPr>
      <w:r w:rsidRPr="00723562">
        <w:t xml:space="preserve">Sin embargo, al margen de la variedad de causas probables, </w:t>
      </w:r>
      <w:r w:rsidR="003A5ECF" w:rsidRPr="00723562">
        <w:t>las</w:t>
      </w:r>
      <w:r w:rsidR="0085698D" w:rsidRPr="00723562">
        <w:t xml:space="preserve"> </w:t>
      </w:r>
      <w:r w:rsidR="003A5ECF" w:rsidRPr="00723562">
        <w:t xml:space="preserve">situaciones de mal manejo pedagógico (directrices educativas inadecuadas), y la presencia de escenarios desfavorecedores del desarrollo psicológico en el contexto familiar </w:t>
      </w:r>
      <w:r w:rsidR="00E601E8" w:rsidRPr="00723562">
        <w:t>y/</w:t>
      </w:r>
      <w:r w:rsidR="003A5ECF" w:rsidRPr="00723562">
        <w:t xml:space="preserve">o escolar (situaciones o actitudes potencialmente generadoras de alteraciones psicológicas en los niños, acoso, maltrato), </w:t>
      </w:r>
      <w:r w:rsidRPr="00723562">
        <w:t xml:space="preserve">definitivamente </w:t>
      </w:r>
      <w:r w:rsidR="003A5ECF" w:rsidRPr="00723562">
        <w:t xml:space="preserve">se constituyen en </w:t>
      </w:r>
      <w:r w:rsidRPr="00723562">
        <w:t xml:space="preserve">los </w:t>
      </w:r>
      <w:r w:rsidR="003A5ECF" w:rsidRPr="00723562">
        <w:t xml:space="preserve">factores </w:t>
      </w:r>
      <w:r w:rsidR="00932504" w:rsidRPr="00723562">
        <w:t>más significativos</w:t>
      </w:r>
      <w:r w:rsidR="003A5ECF" w:rsidRPr="00723562">
        <w:t>. Pues en muchos casos</w:t>
      </w:r>
      <w:r w:rsidR="00E601E8" w:rsidRPr="00723562">
        <w:t>,</w:t>
      </w:r>
      <w:r w:rsidR="003A5ECF" w:rsidRPr="00723562">
        <w:t xml:space="preserve"> es en ello donde reside la causa </w:t>
      </w:r>
      <w:r w:rsidR="00F92EE5" w:rsidRPr="00723562">
        <w:t xml:space="preserve">fundamental </w:t>
      </w:r>
      <w:r w:rsidR="003A5ECF" w:rsidRPr="00723562">
        <w:t>por la cual el niño no aprende</w:t>
      </w:r>
      <w:r w:rsidR="00F92EE5" w:rsidRPr="00723562">
        <w:t xml:space="preserve">; o incluso, </w:t>
      </w:r>
      <w:r w:rsidR="001804CD" w:rsidRPr="00723562">
        <w:t xml:space="preserve">son mediadores que </w:t>
      </w:r>
      <w:r w:rsidR="00F92EE5" w:rsidRPr="00723562">
        <w:t xml:space="preserve">exacerban otras causas del orden de lo cognitivo </w:t>
      </w:r>
      <w:r w:rsidR="00E601E8" w:rsidRPr="00723562">
        <w:t>(</w:t>
      </w:r>
      <w:r w:rsidR="00CA0764" w:rsidRPr="00723562">
        <w:t>León-Marín, Pérez-San Gregorio, Folk-</w:t>
      </w:r>
      <w:r w:rsidR="00CA0764" w:rsidRPr="00723562">
        <w:lastRenderedPageBreak/>
        <w:t xml:space="preserve">Madrid, y Santamaría-Mena, 1993; </w:t>
      </w:r>
      <w:r w:rsidR="00CA0764" w:rsidRPr="00723562">
        <w:rPr>
          <w:lang w:val="es-EC"/>
        </w:rPr>
        <w:t>Málaga Diéguez, y Arias Álvarez, 2010</w:t>
      </w:r>
      <w:r w:rsidR="00420487" w:rsidRPr="00723562">
        <w:rPr>
          <w:lang w:val="es-EC"/>
        </w:rPr>
        <w:t xml:space="preserve">; </w:t>
      </w:r>
      <w:r w:rsidR="00420487" w:rsidRPr="00723562">
        <w:t>Mateos-Mateos, y López-Guinea, 2011</w:t>
      </w:r>
      <w:r w:rsidR="00615274" w:rsidRPr="00723562">
        <w:t>; Solovieva, 2014</w:t>
      </w:r>
      <w:r w:rsidR="00E601E8" w:rsidRPr="00723562">
        <w:t>)</w:t>
      </w:r>
      <w:r w:rsidR="003A5ECF" w:rsidRPr="00723562">
        <w:t xml:space="preserve">. </w:t>
      </w:r>
    </w:p>
    <w:p w:rsidR="00E601E8" w:rsidRPr="00723562" w:rsidRDefault="00122B21" w:rsidP="0000602F">
      <w:pPr>
        <w:spacing w:line="360" w:lineRule="auto"/>
        <w:jc w:val="both"/>
        <w:rPr>
          <w:lang w:val="es-EC"/>
        </w:rPr>
      </w:pPr>
      <w:r w:rsidRPr="00723562">
        <w:t>N</w:t>
      </w:r>
      <w:r w:rsidR="007350CD" w:rsidRPr="00723562">
        <w:t>o</w:t>
      </w:r>
      <w:r w:rsidRPr="00723562">
        <w:t xml:space="preserve"> obstante</w:t>
      </w:r>
      <w:r w:rsidR="003A5ECF" w:rsidRPr="00723562">
        <w:t xml:space="preserve">, cuando </w:t>
      </w:r>
      <w:r w:rsidRPr="00723562">
        <w:t>l</w:t>
      </w:r>
      <w:r w:rsidR="003A5ECF" w:rsidRPr="00723562">
        <w:t xml:space="preserve">os </w:t>
      </w:r>
      <w:r w:rsidR="00E601E8" w:rsidRPr="00723562">
        <w:t xml:space="preserve">trastornos </w:t>
      </w:r>
      <w:r w:rsidR="003A5ECF" w:rsidRPr="00723562">
        <w:t xml:space="preserve">del aprendizaje </w:t>
      </w:r>
      <w:r w:rsidRPr="00723562">
        <w:t xml:space="preserve">no pueden ser </w:t>
      </w:r>
      <w:r w:rsidR="00562F9B" w:rsidRPr="00723562">
        <w:t>explicados</w:t>
      </w:r>
      <w:r w:rsidRPr="00723562">
        <w:t xml:space="preserve"> por estos factores ambientales, y sobre todo si </w:t>
      </w:r>
      <w:r w:rsidR="003A5ECF" w:rsidRPr="00723562">
        <w:t xml:space="preserve">se circunscriben </w:t>
      </w:r>
      <w:r w:rsidRPr="00723562">
        <w:t>a</w:t>
      </w:r>
      <w:r w:rsidR="003A5ECF" w:rsidRPr="00723562">
        <w:t xml:space="preserve"> una habilidad académica específica, mientras las otras habilidades </w:t>
      </w:r>
      <w:r w:rsidR="00E601E8" w:rsidRPr="00723562">
        <w:t>académicas</w:t>
      </w:r>
      <w:r w:rsidR="003A5ECF" w:rsidRPr="00723562">
        <w:t xml:space="preserve"> se </w:t>
      </w:r>
      <w:r w:rsidR="00E601E8" w:rsidRPr="00723562">
        <w:t xml:space="preserve">conservan, probablemente se esté en presencia de </w:t>
      </w:r>
      <w:r w:rsidR="006E64DC" w:rsidRPr="00723562">
        <w:t xml:space="preserve">lo que se denomina como </w:t>
      </w:r>
      <w:r w:rsidR="00E601E8" w:rsidRPr="00723562">
        <w:rPr>
          <w:i/>
        </w:rPr>
        <w:t>trastorno específico del aprendizaje</w:t>
      </w:r>
      <w:r w:rsidR="00A065C5" w:rsidRPr="00723562">
        <w:t xml:space="preserve"> (</w:t>
      </w:r>
      <w:r w:rsidR="00A065C5" w:rsidRPr="00723562">
        <w:rPr>
          <w:lang w:val="es-EC"/>
        </w:rPr>
        <w:t>McLaughlin, Dyson, Nagle, Thurlow, Rouse, Hardman, Norwich, Burke, y Perlin, 2006</w:t>
      </w:r>
      <w:r w:rsidR="001B3891" w:rsidRPr="00723562">
        <w:rPr>
          <w:lang w:val="es-EC"/>
        </w:rPr>
        <w:t xml:space="preserve">; </w:t>
      </w:r>
      <w:r w:rsidR="001B3891" w:rsidRPr="00723562">
        <w:t>Quintanar-Rojas, L., y Solovieva, Y. (2005</w:t>
      </w:r>
      <w:r w:rsidR="00A065C5" w:rsidRPr="00723562">
        <w:rPr>
          <w:lang w:val="es-EC"/>
        </w:rPr>
        <w:t>).</w:t>
      </w:r>
    </w:p>
    <w:p w:rsidR="00FA55D8" w:rsidRPr="00723562" w:rsidRDefault="00E601E8" w:rsidP="0000602F">
      <w:pPr>
        <w:spacing w:line="360" w:lineRule="auto"/>
        <w:jc w:val="both"/>
      </w:pPr>
      <w:r w:rsidRPr="00723562">
        <w:rPr>
          <w:lang w:val="es-EC"/>
        </w:rPr>
        <w:t xml:space="preserve">Según el </w:t>
      </w:r>
      <w:r w:rsidR="0038697A" w:rsidRPr="00723562">
        <w:rPr>
          <w:bCs/>
          <w:i/>
          <w:lang w:val="es-EC"/>
        </w:rPr>
        <w:t>Diagnostic and Statistical Manual of Mental Disorders, Quinta Edición</w:t>
      </w:r>
      <w:r w:rsidR="00C1556E" w:rsidRPr="00723562">
        <w:rPr>
          <w:bCs/>
          <w:lang w:val="es-EC"/>
        </w:rPr>
        <w:t xml:space="preserve">, </w:t>
      </w:r>
      <w:r w:rsidR="0038697A" w:rsidRPr="00723562">
        <w:rPr>
          <w:bCs/>
          <w:lang w:val="es-EC"/>
        </w:rPr>
        <w:t>DSM-</w:t>
      </w:r>
      <w:r w:rsidR="00C1556E" w:rsidRPr="00723562">
        <w:rPr>
          <w:bCs/>
          <w:lang w:val="es-EC"/>
        </w:rPr>
        <w:t>5</w:t>
      </w:r>
      <w:r w:rsidR="0038697A" w:rsidRPr="00723562">
        <w:rPr>
          <w:lang w:val="es-EC"/>
        </w:rPr>
        <w:t xml:space="preserve"> </w:t>
      </w:r>
      <w:r w:rsidR="00731D41" w:rsidRPr="00723562">
        <w:t>(</w:t>
      </w:r>
      <w:r w:rsidR="0038697A" w:rsidRPr="00723562">
        <w:rPr>
          <w:bCs/>
          <w:lang w:val="es-EC"/>
        </w:rPr>
        <w:t>American Psychiatric Association, 2013</w:t>
      </w:r>
      <w:r w:rsidR="00731D41" w:rsidRPr="00723562">
        <w:t>)</w:t>
      </w:r>
      <w:r w:rsidRPr="00723562">
        <w:t xml:space="preserve">, los trastornos específicos del aprendizaje son aquellos </w:t>
      </w:r>
      <w:r w:rsidR="002B1C63" w:rsidRPr="00723562">
        <w:t>donde la d</w:t>
      </w:r>
      <w:r w:rsidR="00CD0CE1" w:rsidRPr="00723562">
        <w:t>ificultad en el aprendizaje</w:t>
      </w:r>
      <w:r w:rsidR="00FF6965" w:rsidRPr="00723562">
        <w:t>,</w:t>
      </w:r>
      <w:r w:rsidR="00CD0CE1" w:rsidRPr="00723562">
        <w:t xml:space="preserve"> y en la utilización de las aptitudes académicas,</w:t>
      </w:r>
      <w:r w:rsidR="003B478D" w:rsidRPr="00723562">
        <w:t xml:space="preserve"> no se explican por discapacidades intelectuales, trastornos </w:t>
      </w:r>
      <w:r w:rsidR="00694CF7" w:rsidRPr="00723562">
        <w:t xml:space="preserve">sensoriales </w:t>
      </w:r>
      <w:r w:rsidR="003B478D" w:rsidRPr="00723562">
        <w:t>no corregidos,</w:t>
      </w:r>
      <w:r w:rsidR="00694CF7" w:rsidRPr="00723562">
        <w:t xml:space="preserve"> trastornos mentales, </w:t>
      </w:r>
      <w:r w:rsidR="003B478D" w:rsidRPr="00723562">
        <w:t>neurológicos, adversidad psicosocial, falta de dominio en el lenguaje de instrucción académica</w:t>
      </w:r>
      <w:r w:rsidR="00FA55D8" w:rsidRPr="00723562">
        <w:t>,</w:t>
      </w:r>
      <w:r w:rsidR="003B478D" w:rsidRPr="00723562">
        <w:t xml:space="preserve"> o directrices educativas inadecuadas.</w:t>
      </w:r>
      <w:r w:rsidR="00FA55D8" w:rsidRPr="00723562">
        <w:t xml:space="preserve"> En estos casos, las aptitudes académicas afectadas están por debajo de lo esperado para la edad cronológica del niño, e interfieren significativamente </w:t>
      </w:r>
      <w:r w:rsidR="00694CF7" w:rsidRPr="00723562">
        <w:t>en</w:t>
      </w:r>
      <w:r w:rsidR="00FA55D8" w:rsidRPr="00723562">
        <w:t xml:space="preserve"> </w:t>
      </w:r>
      <w:r w:rsidR="00694CF7" w:rsidRPr="00723562">
        <w:t xml:space="preserve">su </w:t>
      </w:r>
      <w:r w:rsidR="00FA55D8" w:rsidRPr="00723562">
        <w:t>rendimiento académico.</w:t>
      </w:r>
    </w:p>
    <w:p w:rsidR="00CD0CE1" w:rsidRPr="00723562" w:rsidRDefault="00FA55D8" w:rsidP="0000602F">
      <w:pPr>
        <w:spacing w:line="360" w:lineRule="auto"/>
        <w:jc w:val="both"/>
      </w:pPr>
      <w:r w:rsidRPr="00723562">
        <w:t xml:space="preserve">Estos trastornos específicos del aprendizaje se presentan, </w:t>
      </w:r>
      <w:r w:rsidR="00731D41" w:rsidRPr="00723562">
        <w:t>ya sea</w:t>
      </w:r>
      <w:r w:rsidRPr="00723562">
        <w:t xml:space="preserve"> en</w:t>
      </w:r>
      <w:r w:rsidR="00CD0CE1" w:rsidRPr="00723562">
        <w:t xml:space="preserve"> </w:t>
      </w:r>
      <w:r w:rsidR="00731D41" w:rsidRPr="00723562">
        <w:t xml:space="preserve">una </w:t>
      </w:r>
      <w:r w:rsidR="002B1C63" w:rsidRPr="00723562">
        <w:t>l</w:t>
      </w:r>
      <w:r w:rsidR="00D23381" w:rsidRPr="00723562">
        <w:t xml:space="preserve">ectura de </w:t>
      </w:r>
      <w:r w:rsidR="00CD0CE1" w:rsidRPr="00723562">
        <w:t>palabras imprecisa o lenta</w:t>
      </w:r>
      <w:r w:rsidR="002B1C63" w:rsidRPr="00723562">
        <w:t xml:space="preserve">, </w:t>
      </w:r>
      <w:r w:rsidR="0094224B" w:rsidRPr="00723562">
        <w:t>en</w:t>
      </w:r>
      <w:r w:rsidR="00F92EE5" w:rsidRPr="00723562">
        <w:t xml:space="preserve"> </w:t>
      </w:r>
      <w:r w:rsidR="002B1C63" w:rsidRPr="00723562">
        <w:t>d</w:t>
      </w:r>
      <w:r w:rsidR="00CD0CE1" w:rsidRPr="00723562">
        <w:t>ificultad</w:t>
      </w:r>
      <w:r w:rsidR="00731D41" w:rsidRPr="00723562">
        <w:t>es</w:t>
      </w:r>
      <w:r w:rsidR="00CD0CE1" w:rsidRPr="00723562">
        <w:t xml:space="preserve"> para comprend</w:t>
      </w:r>
      <w:r w:rsidR="002B1C63" w:rsidRPr="00723562">
        <w:t xml:space="preserve">er el significado de lo que </w:t>
      </w:r>
      <w:r w:rsidR="00523F3C" w:rsidRPr="00723562">
        <w:t xml:space="preserve">se </w:t>
      </w:r>
      <w:r w:rsidR="002B1C63" w:rsidRPr="00723562">
        <w:t xml:space="preserve">lee, </w:t>
      </w:r>
      <w:r w:rsidR="0094224B" w:rsidRPr="00723562">
        <w:t xml:space="preserve">en </w:t>
      </w:r>
      <w:r w:rsidR="002B1C63" w:rsidRPr="00723562">
        <w:t>d</w:t>
      </w:r>
      <w:r w:rsidR="00CD0CE1" w:rsidRPr="00723562">
        <w:t>ificultades ortográficas</w:t>
      </w:r>
      <w:r w:rsidR="005B07B6" w:rsidRPr="00723562">
        <w:t xml:space="preserve">, </w:t>
      </w:r>
      <w:r w:rsidR="0094224B" w:rsidRPr="00723562">
        <w:t xml:space="preserve">en </w:t>
      </w:r>
      <w:r w:rsidR="00731D41" w:rsidRPr="00723562">
        <w:t>d</w:t>
      </w:r>
      <w:r w:rsidR="00CD0CE1" w:rsidRPr="00723562">
        <w:t>ificu</w:t>
      </w:r>
      <w:r w:rsidR="00731D41" w:rsidRPr="00723562">
        <w:t xml:space="preserve">ltades con la expresión escrita, </w:t>
      </w:r>
      <w:r w:rsidR="0094224B" w:rsidRPr="00723562">
        <w:t xml:space="preserve">en </w:t>
      </w:r>
      <w:r w:rsidR="00731D41" w:rsidRPr="00723562">
        <w:t>d</w:t>
      </w:r>
      <w:r w:rsidR="00CD0CE1" w:rsidRPr="00723562">
        <w:t xml:space="preserve">ificultades para dominar el sentido </w:t>
      </w:r>
      <w:r w:rsidR="00F92EE5" w:rsidRPr="00723562">
        <w:t>numérico</w:t>
      </w:r>
      <w:r w:rsidRPr="00723562">
        <w:t xml:space="preserve"> y</w:t>
      </w:r>
      <w:r w:rsidR="00F92EE5" w:rsidRPr="00723562">
        <w:t xml:space="preserve"> </w:t>
      </w:r>
      <w:r w:rsidR="00CD0CE1" w:rsidRPr="00723562">
        <w:t>el cálculo</w:t>
      </w:r>
      <w:r w:rsidR="00731D41" w:rsidRPr="00723562">
        <w:t xml:space="preserve">, </w:t>
      </w:r>
      <w:r w:rsidR="00F92EE5" w:rsidRPr="00723562">
        <w:t>o</w:t>
      </w:r>
      <w:r w:rsidR="00731D41" w:rsidRPr="00723562">
        <w:t xml:space="preserve"> </w:t>
      </w:r>
      <w:r w:rsidR="0094224B" w:rsidRPr="00723562">
        <w:t xml:space="preserve">en </w:t>
      </w:r>
      <w:r w:rsidR="00731D41" w:rsidRPr="00723562">
        <w:t>d</w:t>
      </w:r>
      <w:r w:rsidR="00CD0CE1" w:rsidRPr="00723562">
        <w:t xml:space="preserve">ificultades </w:t>
      </w:r>
      <w:r w:rsidR="009937DF" w:rsidRPr="00723562">
        <w:t>para</w:t>
      </w:r>
      <w:r w:rsidR="00CD0CE1" w:rsidRPr="00723562">
        <w:t xml:space="preserve"> el razonamiento matemático</w:t>
      </w:r>
      <w:r w:rsidR="0094224B" w:rsidRPr="00723562">
        <w:t xml:space="preserve"> (</w:t>
      </w:r>
      <w:r w:rsidR="0038697A" w:rsidRPr="00723562">
        <w:rPr>
          <w:bCs/>
          <w:lang w:val="es-EC"/>
        </w:rPr>
        <w:t>American Psychiatric Association, 2013</w:t>
      </w:r>
      <w:r w:rsidR="0094224B" w:rsidRPr="00723562">
        <w:t>)</w:t>
      </w:r>
      <w:r w:rsidR="00731D41" w:rsidRPr="00723562">
        <w:t>.</w:t>
      </w:r>
    </w:p>
    <w:p w:rsidR="0048181C" w:rsidRPr="00723562" w:rsidRDefault="00CE03CC" w:rsidP="0000602F">
      <w:pPr>
        <w:spacing w:line="360" w:lineRule="auto"/>
        <w:jc w:val="both"/>
      </w:pPr>
      <w:r w:rsidRPr="00723562">
        <w:t>Esta perspectiva de tratamiento de los trastornos específicos del aprendizaje, y su distinción de otras formas de problemas del aprendizaje, qued</w:t>
      </w:r>
      <w:r w:rsidR="00D87437" w:rsidRPr="00723562">
        <w:t>ó</w:t>
      </w:r>
      <w:r w:rsidRPr="00723562">
        <w:t xml:space="preserve"> </w:t>
      </w:r>
      <w:r w:rsidR="00D87437" w:rsidRPr="00723562">
        <w:t>bien</w:t>
      </w:r>
      <w:r w:rsidRPr="00723562">
        <w:t xml:space="preserve"> delimitada en </w:t>
      </w:r>
      <w:r w:rsidR="00D87437" w:rsidRPr="00723562">
        <w:t>los</w:t>
      </w:r>
      <w:r w:rsidRPr="00723562">
        <w:t xml:space="preserve"> criterios diagnósticos propuestos para este trastorno </w:t>
      </w:r>
      <w:r w:rsidR="00966BDD" w:rsidRPr="00723562">
        <w:t xml:space="preserve">en la </w:t>
      </w:r>
      <w:r w:rsidR="00341BF7" w:rsidRPr="00723562">
        <w:rPr>
          <w:i/>
        </w:rPr>
        <w:t xml:space="preserve">International </w:t>
      </w:r>
      <w:r w:rsidR="00341BF7" w:rsidRPr="00723562">
        <w:rPr>
          <w:bCs/>
          <w:i/>
          <w:lang w:val="es-EC"/>
        </w:rPr>
        <w:t>Classification of Mental and Behavioral Disorders ICD-10</w:t>
      </w:r>
      <w:r w:rsidR="00341BF7" w:rsidRPr="00723562">
        <w:rPr>
          <w:bCs/>
          <w:lang w:val="es-EC"/>
        </w:rPr>
        <w:t xml:space="preserve"> (World Health Organization, 1992)</w:t>
      </w:r>
      <w:r w:rsidR="00FF6965" w:rsidRPr="00723562">
        <w:t>. En este manual</w:t>
      </w:r>
      <w:r w:rsidR="00966BDD" w:rsidRPr="00723562">
        <w:t xml:space="preserve"> los trastornos específicos del aprendizaje fueron codificados como “</w:t>
      </w:r>
      <w:r w:rsidR="00966BDD" w:rsidRPr="00723562">
        <w:rPr>
          <w:i/>
        </w:rPr>
        <w:t>F81: Trastornos específicos del desarrollo del aprendizaje escolar</w:t>
      </w:r>
      <w:r w:rsidR="00966BDD" w:rsidRPr="00723562">
        <w:t>”, y se incluyeron en el acápite “</w:t>
      </w:r>
      <w:r w:rsidR="00966BDD" w:rsidRPr="00723562">
        <w:rPr>
          <w:i/>
        </w:rPr>
        <w:t>F80-89: Trastornos del desarrollo psicológico.”</w:t>
      </w:r>
      <w:r w:rsidR="00966BDD" w:rsidRPr="00723562">
        <w:t xml:space="preserve"> En el </w:t>
      </w:r>
      <w:r w:rsidR="009978DF" w:rsidRPr="00723562">
        <w:rPr>
          <w:bCs/>
          <w:i/>
          <w:lang w:val="es-EC"/>
        </w:rPr>
        <w:t>Diagnostic and Statistical Manual of Mental Disorders, DSM-IV</w:t>
      </w:r>
      <w:r w:rsidR="009978DF" w:rsidRPr="00723562">
        <w:t xml:space="preserve"> (</w:t>
      </w:r>
      <w:r w:rsidR="009978DF" w:rsidRPr="00723562">
        <w:rPr>
          <w:bCs/>
          <w:lang w:val="es-EC"/>
        </w:rPr>
        <w:t>American Psychiatric Association, 1995),</w:t>
      </w:r>
      <w:r w:rsidR="00966BDD" w:rsidRPr="00723562">
        <w:t xml:space="preserve"> </w:t>
      </w:r>
      <w:r w:rsidR="00D87437" w:rsidRPr="00723562">
        <w:t xml:space="preserve">en </w:t>
      </w:r>
      <w:r w:rsidR="001804CD" w:rsidRPr="00723562">
        <w:t>su versión revisada</w:t>
      </w:r>
      <w:r w:rsidR="009978DF" w:rsidRPr="00723562">
        <w:t xml:space="preserve">, el </w:t>
      </w:r>
      <w:r w:rsidR="009978DF" w:rsidRPr="00723562">
        <w:rPr>
          <w:bCs/>
          <w:i/>
          <w:lang w:val="es-EC"/>
        </w:rPr>
        <w:t>Diagnostic and Statistical Manu</w:t>
      </w:r>
      <w:r w:rsidR="00FF6965" w:rsidRPr="00723562">
        <w:rPr>
          <w:bCs/>
          <w:i/>
          <w:lang w:val="es-EC"/>
        </w:rPr>
        <w:t>al of Mental Disorders, DSM-IV-</w:t>
      </w:r>
      <w:r w:rsidR="009978DF" w:rsidRPr="00723562">
        <w:rPr>
          <w:bCs/>
          <w:i/>
          <w:lang w:val="es-EC"/>
        </w:rPr>
        <w:t xml:space="preserve">R </w:t>
      </w:r>
      <w:r w:rsidR="009978DF" w:rsidRPr="00723562">
        <w:t>(</w:t>
      </w:r>
      <w:r w:rsidR="009978DF" w:rsidRPr="00723562">
        <w:rPr>
          <w:bCs/>
          <w:lang w:val="es-EC"/>
        </w:rPr>
        <w:t>American Psychiatric Association, 2000)</w:t>
      </w:r>
      <w:r w:rsidR="00966BDD" w:rsidRPr="00723562">
        <w:t xml:space="preserve">, </w:t>
      </w:r>
      <w:r w:rsidR="009978DF" w:rsidRPr="00723562">
        <w:t>y en el T</w:t>
      </w:r>
      <w:r w:rsidR="0048181C" w:rsidRPr="00723562">
        <w:t>ratado de psiquiatría que los acompaña (</w:t>
      </w:r>
      <w:r w:rsidR="009978DF" w:rsidRPr="00723562">
        <w:rPr>
          <w:bCs/>
          <w:lang w:val="es-EC"/>
        </w:rPr>
        <w:t>Hales, Yudofsky, y Talbott, 2000</w:t>
      </w:r>
      <w:r w:rsidR="0048181C" w:rsidRPr="00723562">
        <w:t xml:space="preserve">), </w:t>
      </w:r>
      <w:r w:rsidR="001804CD" w:rsidRPr="00723562">
        <w:t xml:space="preserve">los trastornos específicos del aprendizaje </w:t>
      </w:r>
      <w:r w:rsidRPr="00723562">
        <w:t>fueron incluidos</w:t>
      </w:r>
      <w:r w:rsidR="00D87437" w:rsidRPr="00723562">
        <w:t xml:space="preserve"> en la sección de “</w:t>
      </w:r>
      <w:r w:rsidR="00D87437" w:rsidRPr="00723562">
        <w:rPr>
          <w:i/>
        </w:rPr>
        <w:t>T</w:t>
      </w:r>
      <w:r w:rsidRPr="00723562">
        <w:rPr>
          <w:i/>
        </w:rPr>
        <w:t xml:space="preserve">rastornos de inicio en la infancia, la niñez o la </w:t>
      </w:r>
      <w:r w:rsidRPr="00723562">
        <w:rPr>
          <w:i/>
        </w:rPr>
        <w:lastRenderedPageBreak/>
        <w:t>adolescencia</w:t>
      </w:r>
      <w:r w:rsidRPr="00723562">
        <w:t>,</w:t>
      </w:r>
      <w:r w:rsidR="00D87437" w:rsidRPr="00723562">
        <w:t>”</w:t>
      </w:r>
      <w:r w:rsidRPr="00723562">
        <w:t xml:space="preserve"> y </w:t>
      </w:r>
      <w:r w:rsidR="001804CD" w:rsidRPr="00723562">
        <w:t>se definieron como aquellos que interfieren significativamente</w:t>
      </w:r>
      <w:r w:rsidR="00D87437" w:rsidRPr="00723562">
        <w:t xml:space="preserve"> en</w:t>
      </w:r>
      <w:r w:rsidR="001804CD" w:rsidRPr="00723562">
        <w:t xml:space="preserve"> el desarrollo académico del niño, porque su rendimiento escolar en el aprendizaje de la lectura, el cálculo o la escritura, est</w:t>
      </w:r>
      <w:r w:rsidR="00D87437" w:rsidRPr="00723562">
        <w:t>á</w:t>
      </w:r>
      <w:r w:rsidR="001804CD" w:rsidRPr="00723562">
        <w:t xml:space="preserve"> por debajo de lo esperado para su edad, escolarización y nivel intelectual.</w:t>
      </w:r>
    </w:p>
    <w:p w:rsidR="00523F3C" w:rsidRPr="00723562" w:rsidRDefault="00A26C14" w:rsidP="0000602F">
      <w:pPr>
        <w:spacing w:line="360" w:lineRule="auto"/>
        <w:jc w:val="both"/>
      </w:pPr>
      <w:r w:rsidRPr="00723562">
        <w:t>E</w:t>
      </w:r>
      <w:r w:rsidR="00966BDD" w:rsidRPr="00723562">
        <w:t xml:space="preserve">n el DSM-5 se puede ver </w:t>
      </w:r>
      <w:r w:rsidR="003C0A87" w:rsidRPr="00723562">
        <w:t>cómo</w:t>
      </w:r>
      <w:r w:rsidR="00966BDD" w:rsidRPr="00723562">
        <w:t xml:space="preserve"> evoluciona </w:t>
      </w:r>
      <w:r w:rsidR="003C0A87" w:rsidRPr="00723562">
        <w:t>la</w:t>
      </w:r>
      <w:r w:rsidR="00966BDD" w:rsidRPr="00723562">
        <w:t xml:space="preserve"> definición diagnóstica</w:t>
      </w:r>
      <w:r w:rsidR="003C0A87" w:rsidRPr="00723562">
        <w:t xml:space="preserve"> de trastornos específicos del aprendizaje</w:t>
      </w:r>
      <w:r w:rsidR="00966BDD" w:rsidRPr="00723562">
        <w:t xml:space="preserve">, y sobre todo como se enfoca mejor </w:t>
      </w:r>
      <w:r w:rsidR="00523F3C" w:rsidRPr="00723562">
        <w:t>el</w:t>
      </w:r>
      <w:r w:rsidR="007B1F26" w:rsidRPr="00723562">
        <w:t xml:space="preserve"> origen orgánico del trastorno</w:t>
      </w:r>
      <w:r w:rsidR="00B45A5D" w:rsidRPr="00723562">
        <w:t xml:space="preserve"> (</w:t>
      </w:r>
      <w:r w:rsidR="00B45A5D" w:rsidRPr="00723562">
        <w:rPr>
          <w:bCs/>
          <w:lang w:val="es-EC"/>
        </w:rPr>
        <w:t>American Psychiatric Association, 2013</w:t>
      </w:r>
      <w:r w:rsidR="00B45A5D" w:rsidRPr="00723562">
        <w:t>)</w:t>
      </w:r>
      <w:r w:rsidR="007B1F26" w:rsidRPr="00723562">
        <w:t xml:space="preserve">. </w:t>
      </w:r>
      <w:r w:rsidR="00966BDD" w:rsidRPr="00723562">
        <w:t>En este manual, los</w:t>
      </w:r>
      <w:r w:rsidR="00D75FF1" w:rsidRPr="00723562">
        <w:t xml:space="preserve"> trastorno</w:t>
      </w:r>
      <w:r w:rsidR="00966BDD" w:rsidRPr="00723562">
        <w:t>s</w:t>
      </w:r>
      <w:r w:rsidR="00D75FF1" w:rsidRPr="00723562">
        <w:t xml:space="preserve"> </w:t>
      </w:r>
      <w:r w:rsidR="00966BDD" w:rsidRPr="00723562">
        <w:t>específicos</w:t>
      </w:r>
      <w:r w:rsidR="00D75FF1" w:rsidRPr="00723562">
        <w:t xml:space="preserve"> del aprendizaje </w:t>
      </w:r>
      <w:r w:rsidR="00966BDD" w:rsidRPr="00723562">
        <w:t xml:space="preserve">se </w:t>
      </w:r>
      <w:r w:rsidR="00416DC6" w:rsidRPr="00723562">
        <w:t>suponen</w:t>
      </w:r>
      <w:r w:rsidR="00966BDD" w:rsidRPr="00723562">
        <w:t xml:space="preserve"> como trastornos del </w:t>
      </w:r>
      <w:r w:rsidR="00D75FF1" w:rsidRPr="00723562">
        <w:t>neurodesarrollo</w:t>
      </w:r>
      <w:r w:rsidR="00966BDD" w:rsidRPr="00723562">
        <w:t>,</w:t>
      </w:r>
      <w:r w:rsidR="00D75FF1" w:rsidRPr="00723562">
        <w:t xml:space="preserve"> </w:t>
      </w:r>
      <w:r w:rsidR="00966BDD" w:rsidRPr="00723562">
        <w:t>cuyas</w:t>
      </w:r>
      <w:r w:rsidR="00D75FF1" w:rsidRPr="00723562">
        <w:t xml:space="preserve"> </w:t>
      </w:r>
      <w:r w:rsidR="00966BDD" w:rsidRPr="00723562">
        <w:t xml:space="preserve">alteraciones </w:t>
      </w:r>
      <w:r w:rsidR="00D75FF1" w:rsidRPr="00723562">
        <w:t>cognitiv</w:t>
      </w:r>
      <w:r w:rsidR="00966BDD" w:rsidRPr="00723562">
        <w:t>as tienen un origen neurobiológico</w:t>
      </w:r>
      <w:r w:rsidR="00877CF2" w:rsidRPr="00723562">
        <w:t>; y</w:t>
      </w:r>
      <w:r w:rsidR="00966BDD" w:rsidRPr="00723562">
        <w:t xml:space="preserve"> se considera fundamental la interacción entre factores </w:t>
      </w:r>
      <w:r w:rsidR="00D75FF1" w:rsidRPr="00723562">
        <w:t xml:space="preserve">genéticos, </w:t>
      </w:r>
      <w:r w:rsidR="00966BDD" w:rsidRPr="00723562">
        <w:t>epigenéticos y ambien</w:t>
      </w:r>
      <w:r w:rsidR="00D75FF1" w:rsidRPr="00723562">
        <w:t>tales</w:t>
      </w:r>
      <w:r w:rsidR="00966BDD" w:rsidRPr="00723562">
        <w:t>, en la forma en que se</w:t>
      </w:r>
      <w:r w:rsidR="00D75FF1" w:rsidRPr="00723562">
        <w:t xml:space="preserve"> afecta la capacidad del cerebro para </w:t>
      </w:r>
      <w:r w:rsidR="00416DC6" w:rsidRPr="00723562">
        <w:t>percibir o procesar información</w:t>
      </w:r>
      <w:r w:rsidR="00D75FF1" w:rsidRPr="00723562">
        <w:t xml:space="preserve"> verbal o no verbal</w:t>
      </w:r>
      <w:r w:rsidR="00966BDD" w:rsidRPr="00723562">
        <w:t>.</w:t>
      </w:r>
    </w:p>
    <w:p w:rsidR="00D75FF1" w:rsidRPr="00723562" w:rsidRDefault="00877CF2" w:rsidP="0000602F">
      <w:pPr>
        <w:spacing w:line="360" w:lineRule="auto"/>
        <w:jc w:val="both"/>
      </w:pPr>
      <w:r w:rsidRPr="00723562">
        <w:t>Además, a</w:t>
      </w:r>
      <w:r w:rsidR="00A26C14" w:rsidRPr="00723562">
        <w:t xml:space="preserve">quí ya se especifica el carácter persistente que tienen estos trastornos </w:t>
      </w:r>
      <w:r w:rsidR="00416DC6" w:rsidRPr="00723562">
        <w:t>a lo l</w:t>
      </w:r>
      <w:r w:rsidR="00A26C14" w:rsidRPr="00723562">
        <w:t xml:space="preserve">argo del desarrollo; </w:t>
      </w:r>
      <w:r w:rsidR="00523F3C" w:rsidRPr="00723562">
        <w:t xml:space="preserve">y </w:t>
      </w:r>
      <w:r w:rsidRPr="00723562">
        <w:t>su repercusión</w:t>
      </w:r>
      <w:r w:rsidR="00A26C14" w:rsidRPr="00723562">
        <w:t>, no solo</w:t>
      </w:r>
      <w:r w:rsidR="00416DC6" w:rsidRPr="00723562">
        <w:t xml:space="preserve"> en el aprovechamiento escolar </w:t>
      </w:r>
      <w:r w:rsidR="00523F3C" w:rsidRPr="00723562">
        <w:t>de</w:t>
      </w:r>
      <w:r w:rsidR="00416DC6" w:rsidRPr="00723562">
        <w:t xml:space="preserve"> otras áreas académicas</w:t>
      </w:r>
      <w:r w:rsidR="00A26C14" w:rsidRPr="00723562">
        <w:t>, sino también en varias áreas del</w:t>
      </w:r>
      <w:r w:rsidRPr="00723562">
        <w:t xml:space="preserve"> desempeño cotidiano del sujeto</w:t>
      </w:r>
      <w:r w:rsidR="00523F3C" w:rsidRPr="00723562">
        <w:t>. S</w:t>
      </w:r>
      <w:r w:rsidRPr="00723562">
        <w:t xml:space="preserve">obre </w:t>
      </w:r>
      <w:r w:rsidR="004F6DEF" w:rsidRPr="00723562">
        <w:t>todo,</w:t>
      </w:r>
      <w:r w:rsidRPr="00723562">
        <w:t xml:space="preserve"> se enfatiza en sus niveles de</w:t>
      </w:r>
      <w:r w:rsidR="007B1F26" w:rsidRPr="00723562">
        <w:t xml:space="preserve"> prevalencia, y </w:t>
      </w:r>
      <w:r w:rsidRPr="00723562">
        <w:t>lo que ello significa.</w:t>
      </w:r>
    </w:p>
    <w:p w:rsidR="004A5E55" w:rsidRPr="00723562" w:rsidRDefault="00C5697D" w:rsidP="0000602F">
      <w:pPr>
        <w:spacing w:line="360" w:lineRule="auto"/>
        <w:jc w:val="both"/>
      </w:pPr>
      <w:r w:rsidRPr="00723562">
        <w:t xml:space="preserve">Pues, según </w:t>
      </w:r>
      <w:r w:rsidR="00B45A5D" w:rsidRPr="00723562">
        <w:t>el DSM-5</w:t>
      </w:r>
      <w:r w:rsidRPr="00723562">
        <w:t xml:space="preserve">, la prevalencia del trastorno específico del aprendizaje es del 5% al </w:t>
      </w:r>
      <w:r w:rsidR="003C7CF3" w:rsidRPr="00723562">
        <w:t>15</w:t>
      </w:r>
      <w:r w:rsidRPr="00723562">
        <w:t>% en los niños de edad escolar de diferentes lenguas y culturas</w:t>
      </w:r>
      <w:r w:rsidR="00B45A5D" w:rsidRPr="00723562">
        <w:t xml:space="preserve"> (</w:t>
      </w:r>
      <w:r w:rsidR="00B45A5D" w:rsidRPr="00723562">
        <w:rPr>
          <w:bCs/>
          <w:lang w:val="es-EC"/>
        </w:rPr>
        <w:t>American Psychiatric Association, 2013</w:t>
      </w:r>
      <w:r w:rsidR="00B45A5D" w:rsidRPr="00723562">
        <w:t>)</w:t>
      </w:r>
      <w:r w:rsidRPr="00723562">
        <w:t>.</w:t>
      </w:r>
      <w:r w:rsidR="003139C1" w:rsidRPr="00723562">
        <w:t xml:space="preserve"> A</w:t>
      </w:r>
      <w:r w:rsidR="00804F49" w:rsidRPr="00723562">
        <w:t>lgun</w:t>
      </w:r>
      <w:r w:rsidR="003C0A87" w:rsidRPr="00723562">
        <w:t>o</w:t>
      </w:r>
      <w:r w:rsidR="00804F49" w:rsidRPr="00723562">
        <w:t xml:space="preserve">s </w:t>
      </w:r>
      <w:r w:rsidR="003C0A87" w:rsidRPr="00723562">
        <w:t>autores</w:t>
      </w:r>
      <w:r w:rsidRPr="00723562">
        <w:t xml:space="preserve"> (Lagae, 2008</w:t>
      </w:r>
      <w:r w:rsidR="001C5CB0" w:rsidRPr="00723562">
        <w:t>;</w:t>
      </w:r>
      <w:r w:rsidRPr="00723562">
        <w:t xml:space="preserve"> </w:t>
      </w:r>
      <w:r w:rsidR="001C5CB0" w:rsidRPr="00723562">
        <w:rPr>
          <w:lang w:val="es-EC"/>
        </w:rPr>
        <w:t>Málaga Diéguez, y Arias Álvarez, 2010</w:t>
      </w:r>
      <w:r w:rsidRPr="00723562">
        <w:t>)</w:t>
      </w:r>
      <w:r w:rsidR="001C5CB0" w:rsidRPr="00723562">
        <w:t xml:space="preserve">, </w:t>
      </w:r>
      <w:r w:rsidR="003139C1" w:rsidRPr="00723562">
        <w:t xml:space="preserve">confirman que </w:t>
      </w:r>
      <w:r w:rsidR="001C5CB0" w:rsidRPr="00723562">
        <w:t>a</w:t>
      </w:r>
      <w:r w:rsidRPr="00723562">
        <w:t xml:space="preserve">proximadamente un 5% de los niños en edad escolar </w:t>
      </w:r>
      <w:r w:rsidR="005B0791" w:rsidRPr="00723562">
        <w:t xml:space="preserve">a escala global </w:t>
      </w:r>
      <w:r w:rsidRPr="00723562">
        <w:t>sufren trastornos específicos del aprendizaje. Otros autores (</w:t>
      </w:r>
      <w:r w:rsidR="001C5CB0" w:rsidRPr="00723562">
        <w:t xml:space="preserve">Magallón, y Narbona, 2009; </w:t>
      </w:r>
      <w:r w:rsidRPr="00723562">
        <w:rPr>
          <w:lang w:val="es-EC"/>
        </w:rPr>
        <w:t>McLaughlin, Dyson, Nagle, Thurlow, Rouse, Hardman, Norwich, Burke, y Perlin,</w:t>
      </w:r>
      <w:r w:rsidRPr="00723562">
        <w:t xml:space="preserve"> 2006), refieren </w:t>
      </w:r>
      <w:r w:rsidR="004F6DEF" w:rsidRPr="00723562">
        <w:t>que,</w:t>
      </w:r>
      <w:r w:rsidRPr="00723562">
        <w:t xml:space="preserve"> en Estados Unidos, por ejemplo, </w:t>
      </w:r>
      <w:r w:rsidR="00804F49" w:rsidRPr="00723562">
        <w:t>a mitad de la pasada década</w:t>
      </w:r>
      <w:r w:rsidRPr="00723562">
        <w:t xml:space="preserve"> se estimaba</w:t>
      </w:r>
      <w:r w:rsidR="00804F49" w:rsidRPr="00723562">
        <w:t xml:space="preserve"> </w:t>
      </w:r>
      <w:r w:rsidR="003C0A87" w:rsidRPr="00723562">
        <w:t>que</w:t>
      </w:r>
      <w:r w:rsidR="00E31A6F" w:rsidRPr="00723562">
        <w:t xml:space="preserve"> cerca del </w:t>
      </w:r>
      <w:r w:rsidR="004A5E55" w:rsidRPr="00723562">
        <w:t>el 48%</w:t>
      </w:r>
      <w:r w:rsidR="00E31A6F" w:rsidRPr="00723562">
        <w:t xml:space="preserve"> </w:t>
      </w:r>
      <w:r w:rsidR="003C0A87" w:rsidRPr="00723562">
        <w:t>de las adecuaciones curriculares que se reportaban, eran por trastornos específicos del aprendizaje en una u otra área</w:t>
      </w:r>
      <w:r w:rsidRPr="00723562">
        <w:t xml:space="preserve"> académica</w:t>
      </w:r>
      <w:r w:rsidR="003C0A87" w:rsidRPr="00723562">
        <w:t xml:space="preserve">, </w:t>
      </w:r>
      <w:r w:rsidRPr="00723562">
        <w:t>y</w:t>
      </w:r>
      <w:r w:rsidR="003C0A87" w:rsidRPr="00723562">
        <w:t xml:space="preserve"> los problemas de la lectura eran</w:t>
      </w:r>
      <w:r w:rsidRPr="00723562">
        <w:t xml:space="preserve"> cerca del 80% del total de casos </w:t>
      </w:r>
      <w:r w:rsidR="003C0A87" w:rsidRPr="00723562">
        <w:t>reportados.</w:t>
      </w:r>
      <w:r w:rsidR="00E31A6F" w:rsidRPr="00723562">
        <w:t xml:space="preserve"> </w:t>
      </w:r>
      <w:r w:rsidR="004A5E55" w:rsidRPr="00723562">
        <w:t xml:space="preserve">En el Reino </w:t>
      </w:r>
      <w:r w:rsidR="003C0A87" w:rsidRPr="00723562">
        <w:t>Unido la cifra de adecuaciones curriculares por trastornos específicos del aprendizaje se calculaba sobre</w:t>
      </w:r>
      <w:r w:rsidR="004A5E55" w:rsidRPr="00723562">
        <w:t xml:space="preserve"> aproximadamente el 20%</w:t>
      </w:r>
      <w:r w:rsidR="003C0A87" w:rsidRPr="00723562">
        <w:t xml:space="preserve"> </w:t>
      </w:r>
      <w:r w:rsidR="004A5E55" w:rsidRPr="00723562">
        <w:t>de los estudiantes considerado</w:t>
      </w:r>
      <w:r w:rsidR="003C0A87" w:rsidRPr="00723562">
        <w:t>s con necesidad</w:t>
      </w:r>
      <w:r w:rsidRPr="00723562">
        <w:t>es</w:t>
      </w:r>
      <w:r w:rsidR="003C0A87" w:rsidRPr="00723562">
        <w:t xml:space="preserve"> educa</w:t>
      </w:r>
      <w:r w:rsidR="004A5E55" w:rsidRPr="00723562">
        <w:t>tiva</w:t>
      </w:r>
      <w:r w:rsidRPr="00723562">
        <w:t>s</w:t>
      </w:r>
      <w:r w:rsidR="004A5E55" w:rsidRPr="00723562">
        <w:t xml:space="preserve"> especial</w:t>
      </w:r>
      <w:r w:rsidRPr="00723562">
        <w:t>es</w:t>
      </w:r>
      <w:r w:rsidR="003C0A87" w:rsidRPr="00723562">
        <w:t>.</w:t>
      </w:r>
    </w:p>
    <w:p w:rsidR="008B28F0" w:rsidRPr="00723562" w:rsidRDefault="008B28F0" w:rsidP="0000602F">
      <w:pPr>
        <w:spacing w:line="360" w:lineRule="auto"/>
        <w:jc w:val="both"/>
      </w:pPr>
      <w:r w:rsidRPr="00723562">
        <w:t xml:space="preserve">Como contraste con estos datos, en la literatura se reportan diversos estudios que de manera directa o indirecta muestran que los niveles de prevalencia de los trastornos específicos del aprendizaje son cada vez más elevados, tanto en países con sistemas educativos de primer mundo, como en países pobres o en vías de desarrollo (Bravo-Valdivieso, Milicic-Müller, </w:t>
      </w:r>
      <w:r w:rsidRPr="00723562">
        <w:lastRenderedPageBreak/>
        <w:t xml:space="preserve">Cuadro, Mejía, y Eslava, 2009; </w:t>
      </w:r>
      <w:r w:rsidRPr="00723562">
        <w:rPr>
          <w:lang w:val="es-EC"/>
        </w:rPr>
        <w:t>De los Reyes-Aragón, Lewis-Harb, Mendoza-Rebolledo, Neira-Meza, León-Jacobus, y Peña-Ortiz, 2008</w:t>
      </w:r>
      <w:r w:rsidRPr="00723562">
        <w:t>).</w:t>
      </w:r>
    </w:p>
    <w:p w:rsidR="00504AF4" w:rsidRPr="00723562" w:rsidRDefault="004F6DEF" w:rsidP="0000602F">
      <w:pPr>
        <w:spacing w:line="360" w:lineRule="auto"/>
        <w:jc w:val="both"/>
      </w:pPr>
      <w:r>
        <w:t>A pesar de</w:t>
      </w:r>
      <w:r w:rsidR="00D723AC" w:rsidRPr="00723562">
        <w:t xml:space="preserve"> estos datos, l</w:t>
      </w:r>
      <w:r w:rsidR="00504AF4" w:rsidRPr="00723562">
        <w:t>as cifras reportadas no son del todo precisas, y se observa una marcada tendencia a mostrar los niveles prevalencia de las formas específicas de los trastornos específicos del aprendizaje, sin hacer análisis globales</w:t>
      </w:r>
      <w:r w:rsidR="00097F90" w:rsidRPr="00723562">
        <w:t xml:space="preserve"> (</w:t>
      </w:r>
      <w:r w:rsidR="00B1296F" w:rsidRPr="00723562">
        <w:rPr>
          <w:lang w:val="es-EC"/>
        </w:rPr>
        <w:t xml:space="preserve">De los Reyes-Aragón, Lewis-Harb, Mendoza-Rebolledo, Neira-Meza, León-Jacobus, y Peña-Ortiz, 2008; </w:t>
      </w:r>
      <w:r w:rsidR="00097F90" w:rsidRPr="00723562">
        <w:t>García-Mateos, Mayor-Cinca, Santiago-Herrero, y Zubiauz de Pedro, 2014; Jiménez, Guzmán, Rodríguez, y Artiles, 2009).</w:t>
      </w:r>
    </w:p>
    <w:p w:rsidR="00F9239D" w:rsidRPr="00723562" w:rsidRDefault="00504AF4" w:rsidP="0000602F">
      <w:pPr>
        <w:spacing w:line="360" w:lineRule="auto"/>
        <w:jc w:val="both"/>
      </w:pPr>
      <w:r w:rsidRPr="00723562">
        <w:t>En Latinoamérica</w:t>
      </w:r>
      <w:r w:rsidR="005B0791" w:rsidRPr="00723562">
        <w:t>, la situación no es diferente. La prevalencia de los trastornos del aprendizaje es elevada. Estudios reportados desde México, Colombia o Brasil así lo demuestran (</w:t>
      </w:r>
      <w:r w:rsidR="001B3891" w:rsidRPr="00723562">
        <w:t xml:space="preserve">Sánchez-Escobedo, y Pinto-Sosa, 1995; Talero, Espinosa, y Vélez, 2005; </w:t>
      </w:r>
      <w:r w:rsidR="001B3891" w:rsidRPr="00723562">
        <w:rPr>
          <w:lang w:val="es-EC"/>
        </w:rPr>
        <w:t>Zambrano-Sánchez, Martínez-Wbaldo, y Poblano, 2010</w:t>
      </w:r>
      <w:r w:rsidR="005B0791" w:rsidRPr="00723562">
        <w:t xml:space="preserve">). </w:t>
      </w:r>
      <w:r w:rsidR="00F9239D" w:rsidRPr="00723562">
        <w:t xml:space="preserve">Incluso, </w:t>
      </w:r>
      <w:r w:rsidR="00CF6597" w:rsidRPr="00723562">
        <w:t xml:space="preserve">en </w:t>
      </w:r>
      <w:r w:rsidR="00F9239D" w:rsidRPr="00723562">
        <w:t>un estudio presentado por Bravo-Valdivieso, Milicic-Müller, Cuadro, Mejía, y Eslava (2009), a pesar de no mostrar</w:t>
      </w:r>
      <w:r w:rsidR="00CF6597" w:rsidRPr="00723562">
        <w:t>se</w:t>
      </w:r>
      <w:r w:rsidR="00F9239D" w:rsidRPr="00723562">
        <w:t xml:space="preserve"> cifras precisas, </w:t>
      </w:r>
      <w:r w:rsidR="00CF6597" w:rsidRPr="00723562">
        <w:t xml:space="preserve">se legitima el carácter alarmante de los problemas </w:t>
      </w:r>
      <w:r w:rsidR="00F9239D" w:rsidRPr="00723562">
        <w:t xml:space="preserve">del aprendizaje en todo </w:t>
      </w:r>
      <w:r w:rsidR="004775DC" w:rsidRPr="00723562">
        <w:t>Sudamérica.</w:t>
      </w:r>
    </w:p>
    <w:p w:rsidR="00525AA8" w:rsidRPr="00723562" w:rsidRDefault="005B0791" w:rsidP="0000602F">
      <w:pPr>
        <w:spacing w:line="360" w:lineRule="auto"/>
        <w:jc w:val="both"/>
      </w:pPr>
      <w:r w:rsidRPr="00723562">
        <w:t xml:space="preserve">En el Ecuador, </w:t>
      </w:r>
      <w:r w:rsidR="004775DC" w:rsidRPr="00723562">
        <w:t xml:space="preserve">aunque no se hacen especificaciones en este artículo de Bravo-Valdivieso, Milicic-Müller, Cuadro, Mejía, y Eslava (2009), </w:t>
      </w:r>
      <w:r w:rsidR="00194801" w:rsidRPr="00723562">
        <w:t xml:space="preserve">o en otras publicaciones, al menos recientes, </w:t>
      </w:r>
      <w:r w:rsidR="004775DC" w:rsidRPr="00723562">
        <w:t xml:space="preserve">la situación no </w:t>
      </w:r>
      <w:r w:rsidRPr="00723562">
        <w:t>es diferente. Sin embargo,</w:t>
      </w:r>
      <w:r w:rsidR="004B1DFF" w:rsidRPr="00723562">
        <w:t xml:space="preserve"> en las unidades docentes de los diferentes niveles educativos, hay demanda</w:t>
      </w:r>
      <w:r w:rsidR="00523F3C" w:rsidRPr="00723562">
        <w:t>s</w:t>
      </w:r>
      <w:r w:rsidR="004B1DFF" w:rsidRPr="00723562">
        <w:t xml:space="preserve"> constante</w:t>
      </w:r>
      <w:r w:rsidR="00523F3C" w:rsidRPr="00723562">
        <w:t>s</w:t>
      </w:r>
      <w:r w:rsidR="004B1DFF" w:rsidRPr="00723562">
        <w:t xml:space="preserve"> de atención diferenciada y adecuación curricular para niños con esta condición.</w:t>
      </w:r>
    </w:p>
    <w:p w:rsidR="00C16FE7" w:rsidRPr="00723562" w:rsidRDefault="00525AA8" w:rsidP="0000602F">
      <w:pPr>
        <w:spacing w:line="360" w:lineRule="auto"/>
        <w:jc w:val="both"/>
      </w:pPr>
      <w:r w:rsidRPr="00723562">
        <w:t>La satisfacción de estas d</w:t>
      </w:r>
      <w:r w:rsidR="00523F3C" w:rsidRPr="00723562">
        <w:t xml:space="preserve">emandas se ha visto </w:t>
      </w:r>
      <w:r w:rsidR="004F6DEF" w:rsidRPr="00723562">
        <w:t>limitada,</w:t>
      </w:r>
      <w:r w:rsidR="00523F3C" w:rsidRPr="00723562">
        <w:t xml:space="preserve"> sobre todo, por la ausencia de estudios exploratorios y descriptivos que identifiquen las particularidades </w:t>
      </w:r>
      <w:r w:rsidRPr="00723562">
        <w:t xml:space="preserve">psicosociales </w:t>
      </w:r>
      <w:r w:rsidR="00523F3C" w:rsidRPr="00723562">
        <w:t>de</w:t>
      </w:r>
      <w:r w:rsidRPr="00723562">
        <w:t xml:space="preserve"> los niños con problemas del aprendizaje,</w:t>
      </w:r>
      <w:r w:rsidR="00523F3C" w:rsidRPr="00723562">
        <w:t xml:space="preserve"> </w:t>
      </w:r>
      <w:r w:rsidRPr="00723562">
        <w:t xml:space="preserve">y las peculiaridades neurocognitivas de esos </w:t>
      </w:r>
      <w:r w:rsidR="00523F3C" w:rsidRPr="00723562">
        <w:t xml:space="preserve">problemas del aprendizaje en </w:t>
      </w:r>
      <w:r w:rsidRPr="00723562">
        <w:t xml:space="preserve">los niños de </w:t>
      </w:r>
      <w:r w:rsidR="00523F3C" w:rsidRPr="00723562">
        <w:t>la región</w:t>
      </w:r>
      <w:r w:rsidR="00C16FE7" w:rsidRPr="00723562">
        <w:t>.</w:t>
      </w:r>
    </w:p>
    <w:p w:rsidR="00504AF4" w:rsidRPr="00723562" w:rsidRDefault="00525AA8" w:rsidP="0000602F">
      <w:pPr>
        <w:spacing w:line="360" w:lineRule="auto"/>
        <w:jc w:val="both"/>
      </w:pPr>
      <w:r w:rsidRPr="00723562">
        <w:t xml:space="preserve">A partir de ello se podrían encaminar las </w:t>
      </w:r>
      <w:r w:rsidR="00523F3C" w:rsidRPr="00723562">
        <w:t>distinciones necesarias, tanto para las adecuaciones curriculares, como para la intervención psicoeducativa en el desarrollo escolar de los niños afectados.</w:t>
      </w:r>
    </w:p>
    <w:p w:rsidR="00AE2845" w:rsidRPr="00723562" w:rsidRDefault="0075264A" w:rsidP="0000602F">
      <w:pPr>
        <w:spacing w:line="360" w:lineRule="auto"/>
        <w:jc w:val="both"/>
      </w:pPr>
      <w:r w:rsidRPr="00723562">
        <w:t xml:space="preserve">Es por ello que </w:t>
      </w:r>
      <w:r w:rsidR="00510132" w:rsidRPr="00723562">
        <w:t>fue</w:t>
      </w:r>
      <w:r w:rsidRPr="00723562">
        <w:t xml:space="preserve"> concebido </w:t>
      </w:r>
      <w:r w:rsidR="00510132" w:rsidRPr="00723562">
        <w:t xml:space="preserve">el estudio que se informa en </w:t>
      </w:r>
      <w:r w:rsidRPr="00723562">
        <w:t xml:space="preserve">el presente manuscrito, </w:t>
      </w:r>
      <w:r w:rsidR="00510132" w:rsidRPr="00723562">
        <w:t xml:space="preserve">el cual fue realizado con el </w:t>
      </w:r>
      <w:r w:rsidR="00525AA8" w:rsidRPr="00723562">
        <w:t>propósito</w:t>
      </w:r>
      <w:r w:rsidRPr="00723562">
        <w:t xml:space="preserve"> </w:t>
      </w:r>
      <w:r w:rsidR="00510132" w:rsidRPr="00723562">
        <w:t>de</w:t>
      </w:r>
      <w:r w:rsidRPr="00723562">
        <w:t xml:space="preserve"> caracteriza</w:t>
      </w:r>
      <w:r w:rsidR="00510132" w:rsidRPr="00723562">
        <w:t>r</w:t>
      </w:r>
      <w:r w:rsidRPr="00723562">
        <w:t xml:space="preserve"> sociodemográfica</w:t>
      </w:r>
      <w:r w:rsidR="00510132" w:rsidRPr="00723562">
        <w:t>mente</w:t>
      </w:r>
      <w:r w:rsidRPr="00723562">
        <w:t xml:space="preserve"> </w:t>
      </w:r>
      <w:r w:rsidR="00510132" w:rsidRPr="00723562">
        <w:t xml:space="preserve">a </w:t>
      </w:r>
      <w:r w:rsidRPr="00723562">
        <w:t xml:space="preserve">la población total de niños con </w:t>
      </w:r>
      <w:r w:rsidR="00510132" w:rsidRPr="00723562">
        <w:t>trastornos específicos del apre</w:t>
      </w:r>
      <w:r w:rsidRPr="00723562">
        <w:t>ndizaje</w:t>
      </w:r>
      <w:r w:rsidR="00510132" w:rsidRPr="00723562">
        <w:t xml:space="preserve">, de tres unidades </w:t>
      </w:r>
      <w:r w:rsidR="00F76D45" w:rsidRPr="00723562">
        <w:t>educativas</w:t>
      </w:r>
      <w:r w:rsidR="00510132" w:rsidRPr="00723562">
        <w:t xml:space="preserve"> </w:t>
      </w:r>
      <w:r w:rsidR="00F76D45" w:rsidRPr="00723562">
        <w:t>de</w:t>
      </w:r>
      <w:r w:rsidR="00510132" w:rsidRPr="00723562">
        <w:t xml:space="preserve"> la Ciudad de Manta.</w:t>
      </w:r>
      <w:r w:rsidR="00525AA8" w:rsidRPr="00723562">
        <w:t xml:space="preserve"> Este sería un primer momento de una investigación más amplia, donde se caracterizaría desde el punto de vista neurocognitivo a estas poblaciones.</w:t>
      </w:r>
    </w:p>
    <w:p w:rsidR="004F6DEF" w:rsidRDefault="004F6DEF" w:rsidP="0000602F">
      <w:pPr>
        <w:spacing w:line="360" w:lineRule="auto"/>
        <w:jc w:val="both"/>
        <w:rPr>
          <w:b/>
        </w:rPr>
      </w:pPr>
    </w:p>
    <w:p w:rsidR="0075264A" w:rsidRPr="00723562" w:rsidRDefault="0075264A" w:rsidP="0000602F">
      <w:pPr>
        <w:spacing w:line="360" w:lineRule="auto"/>
        <w:jc w:val="both"/>
      </w:pPr>
      <w:r w:rsidRPr="00723562">
        <w:rPr>
          <w:b/>
        </w:rPr>
        <w:lastRenderedPageBreak/>
        <w:t>M</w:t>
      </w:r>
      <w:r w:rsidR="00FA651D" w:rsidRPr="00723562">
        <w:rPr>
          <w:b/>
        </w:rPr>
        <w:t>etodología</w:t>
      </w:r>
    </w:p>
    <w:p w:rsidR="0075264A" w:rsidRPr="00723562" w:rsidRDefault="0075264A" w:rsidP="0000602F">
      <w:pPr>
        <w:spacing w:line="360" w:lineRule="auto"/>
        <w:jc w:val="both"/>
        <w:rPr>
          <w:b/>
        </w:rPr>
      </w:pPr>
      <w:r w:rsidRPr="00723562">
        <w:rPr>
          <w:b/>
          <w:i/>
        </w:rPr>
        <w:t>Tipo de estudio y Participantes</w:t>
      </w:r>
    </w:p>
    <w:p w:rsidR="0075264A" w:rsidRPr="00723562" w:rsidRDefault="0075264A" w:rsidP="0000602F">
      <w:pPr>
        <w:spacing w:line="360" w:lineRule="auto"/>
        <w:jc w:val="both"/>
      </w:pPr>
      <w:r w:rsidRPr="00723562">
        <w:t>Como parte de las acciones planificadas por el Proyecto de Investigación “</w:t>
      </w:r>
      <w:r w:rsidRPr="00723562">
        <w:rPr>
          <w:i/>
        </w:rPr>
        <w:t>Estrategias de atención integral a niños con problemas del aprendizaje</w:t>
      </w:r>
      <w:r w:rsidRPr="00723562">
        <w:t>”, ejecu</w:t>
      </w:r>
      <w:r w:rsidR="00611059" w:rsidRPr="00723562">
        <w:t>tado</w:t>
      </w:r>
      <w:r w:rsidRPr="00723562">
        <w:t xml:space="preserve"> por el </w:t>
      </w:r>
      <w:r w:rsidRPr="00723562">
        <w:rPr>
          <w:i/>
        </w:rPr>
        <w:t xml:space="preserve">Grupo de </w:t>
      </w:r>
      <w:r w:rsidR="00EA3C97" w:rsidRPr="00723562">
        <w:rPr>
          <w:i/>
        </w:rPr>
        <w:t>Investigación en</w:t>
      </w:r>
      <w:r w:rsidRPr="00723562">
        <w:rPr>
          <w:i/>
        </w:rPr>
        <w:t xml:space="preserve"> Neurociencias Cognitivas</w:t>
      </w:r>
      <w:r w:rsidRPr="00723562">
        <w:t xml:space="preserve"> de la Facultad de Psicología de la Universidad Laica “Eloy Alfaro” de Manabí (</w:t>
      </w:r>
      <w:r w:rsidR="00D87396" w:rsidRPr="00723562">
        <w:t xml:space="preserve">en lo adelante </w:t>
      </w:r>
      <w:r w:rsidRPr="00723562">
        <w:t>ULEAM), se realizó un estudio cuantitativo de tipo descriptivo transversal, e</w:t>
      </w:r>
      <w:r w:rsidR="004F6DEF">
        <w:t xml:space="preserve">n el periodo comprendido en el </w:t>
      </w:r>
      <w:r w:rsidR="000657CC" w:rsidRPr="00723562">
        <w:t xml:space="preserve">mes de </w:t>
      </w:r>
      <w:r w:rsidRPr="00723562">
        <w:t>junio de 2017. En el mismo se contó con la participación de la población total de niños reportados con trastornos específicos del aprendizaje, de 4to a 7mo grado de básica, pertenecientes a las Unidades Educativas “</w:t>
      </w:r>
      <w:r w:rsidRPr="00723562">
        <w:rPr>
          <w:i/>
        </w:rPr>
        <w:t>José Peralta</w:t>
      </w:r>
      <w:r w:rsidRPr="00723562">
        <w:t>”, “</w:t>
      </w:r>
      <w:r w:rsidRPr="00723562">
        <w:rPr>
          <w:i/>
        </w:rPr>
        <w:t>Israel</w:t>
      </w:r>
      <w:r w:rsidRPr="00723562">
        <w:t>” y “</w:t>
      </w:r>
      <w:r w:rsidRPr="00723562">
        <w:rPr>
          <w:i/>
        </w:rPr>
        <w:t>4 de noviembre</w:t>
      </w:r>
      <w:r w:rsidRPr="00723562">
        <w:t>”, de la Ciudad de Manta, Provincia Manabí, República del Ecuador.</w:t>
      </w:r>
    </w:p>
    <w:p w:rsidR="00A56E67" w:rsidRPr="00723562" w:rsidRDefault="00E2398D" w:rsidP="0000602F">
      <w:pPr>
        <w:spacing w:line="360" w:lineRule="auto"/>
        <w:jc w:val="both"/>
      </w:pPr>
      <w:r w:rsidRPr="00723562">
        <w:t>La Unidad Educativa “</w:t>
      </w:r>
      <w:r w:rsidRPr="00723562">
        <w:rPr>
          <w:i/>
        </w:rPr>
        <w:t>José Peralta</w:t>
      </w:r>
      <w:r w:rsidRPr="00723562">
        <w:t xml:space="preserve">”, registró un total de </w:t>
      </w:r>
      <w:r w:rsidR="00A56E67" w:rsidRPr="00723562">
        <w:t>325</w:t>
      </w:r>
      <w:r w:rsidR="00F76C8D" w:rsidRPr="00723562">
        <w:t xml:space="preserve"> estudiantes entre </w:t>
      </w:r>
      <w:r w:rsidR="00A56E67" w:rsidRPr="00723562">
        <w:t xml:space="preserve">4to </w:t>
      </w:r>
      <w:r w:rsidR="00F76C8D" w:rsidRPr="00723562">
        <w:t>y 7mo de básica</w:t>
      </w:r>
      <w:r w:rsidR="00EB23BC" w:rsidRPr="00723562">
        <w:t>, el 4</w:t>
      </w:r>
      <w:r w:rsidR="008349F9" w:rsidRPr="00723562">
        <w:t>5</w:t>
      </w:r>
      <w:r w:rsidR="00EB23BC" w:rsidRPr="00723562">
        <w:t>.</w:t>
      </w:r>
      <w:r w:rsidR="008349F9" w:rsidRPr="00723562">
        <w:t>8</w:t>
      </w:r>
      <w:r w:rsidR="00EB23BC" w:rsidRPr="00723562">
        <w:t>% de sexo femenino, y el 5</w:t>
      </w:r>
      <w:r w:rsidR="008349F9" w:rsidRPr="00723562">
        <w:t>4</w:t>
      </w:r>
      <w:r w:rsidR="00EB23BC" w:rsidRPr="00723562">
        <w:t>.</w:t>
      </w:r>
      <w:r w:rsidR="008349F9" w:rsidRPr="00723562">
        <w:t>1</w:t>
      </w:r>
      <w:r w:rsidR="00EB23BC" w:rsidRPr="00723562">
        <w:t>% de sexo masculino.</w:t>
      </w:r>
      <w:r w:rsidR="00E2611C" w:rsidRPr="00723562">
        <w:t xml:space="preserve"> </w:t>
      </w:r>
      <w:r w:rsidRPr="00723562">
        <w:t>La Unidad Educativa “</w:t>
      </w:r>
      <w:r w:rsidRPr="00723562">
        <w:rPr>
          <w:i/>
        </w:rPr>
        <w:t>Israel</w:t>
      </w:r>
      <w:r w:rsidRPr="00723562">
        <w:t xml:space="preserve">” </w:t>
      </w:r>
      <w:r w:rsidR="00EB23BC" w:rsidRPr="00723562">
        <w:t xml:space="preserve">registró una </w:t>
      </w:r>
      <w:r w:rsidR="0055478F" w:rsidRPr="00723562">
        <w:t>matrícula total de</w:t>
      </w:r>
      <w:r w:rsidR="008349F9" w:rsidRPr="00723562">
        <w:t xml:space="preserve"> 220 </w:t>
      </w:r>
      <w:r w:rsidR="0055478F" w:rsidRPr="00723562">
        <w:t>estudiantes</w:t>
      </w:r>
      <w:r w:rsidR="00EB23BC" w:rsidRPr="00723562">
        <w:t xml:space="preserve"> entre </w:t>
      </w:r>
      <w:r w:rsidR="008349F9" w:rsidRPr="00723562">
        <w:t>4to</w:t>
      </w:r>
      <w:r w:rsidR="00EB23BC" w:rsidRPr="00723562">
        <w:t xml:space="preserve"> y 7mo de básic</w:t>
      </w:r>
      <w:r w:rsidR="0055478F" w:rsidRPr="00723562">
        <w:t>a, el</w:t>
      </w:r>
      <w:r w:rsidR="008349F9" w:rsidRPr="00723562">
        <w:t xml:space="preserve"> 50.5</w:t>
      </w:r>
      <w:r w:rsidR="0055478F" w:rsidRPr="00723562">
        <w:t>% de sexo femenino, y el</w:t>
      </w:r>
      <w:r w:rsidR="008349F9" w:rsidRPr="00723562">
        <w:t xml:space="preserve"> 49.5% de sexo masculino.</w:t>
      </w:r>
      <w:r w:rsidR="00E2611C" w:rsidRPr="00723562">
        <w:t xml:space="preserve"> </w:t>
      </w:r>
      <w:r w:rsidRPr="00723562">
        <w:t>La Unidad Educativa “</w:t>
      </w:r>
      <w:r w:rsidRPr="00723562">
        <w:rPr>
          <w:i/>
        </w:rPr>
        <w:t>4 de noviembre</w:t>
      </w:r>
      <w:r w:rsidRPr="00723562">
        <w:t>”</w:t>
      </w:r>
      <w:r w:rsidR="00EB23BC" w:rsidRPr="00723562">
        <w:t xml:space="preserve"> registró una matrí</w:t>
      </w:r>
      <w:r w:rsidR="0055478F" w:rsidRPr="00723562">
        <w:t>cula total de</w:t>
      </w:r>
      <w:r w:rsidR="008349F9" w:rsidRPr="00723562">
        <w:t xml:space="preserve"> 202</w:t>
      </w:r>
      <w:r w:rsidR="004B71BE" w:rsidRPr="00723562">
        <w:t xml:space="preserve"> estudiantes </w:t>
      </w:r>
      <w:r w:rsidR="00EB23BC" w:rsidRPr="00723562">
        <w:t xml:space="preserve">entre </w:t>
      </w:r>
      <w:r w:rsidR="008349F9" w:rsidRPr="00723562">
        <w:t>4to</w:t>
      </w:r>
      <w:r w:rsidR="00EB23BC" w:rsidRPr="00723562">
        <w:t xml:space="preserve"> y 7mo de básica, </w:t>
      </w:r>
      <w:r w:rsidR="0055478F" w:rsidRPr="00723562">
        <w:t>el</w:t>
      </w:r>
      <w:r w:rsidR="008349F9" w:rsidRPr="00723562">
        <w:t xml:space="preserve"> 41.6</w:t>
      </w:r>
      <w:r w:rsidR="00EB23BC" w:rsidRPr="00723562">
        <w:t xml:space="preserve">% de sexo femenino, y </w:t>
      </w:r>
      <w:r w:rsidR="0055478F" w:rsidRPr="00723562">
        <w:t>el</w:t>
      </w:r>
      <w:r w:rsidR="008349F9" w:rsidRPr="00723562">
        <w:t xml:space="preserve"> 58.4</w:t>
      </w:r>
      <w:r w:rsidR="00EB23BC" w:rsidRPr="00723562">
        <w:t xml:space="preserve">% de sexo masculino. </w:t>
      </w:r>
      <w:r w:rsidR="00A56E67" w:rsidRPr="00723562">
        <w:t>Partiendo de estos datos, la población de referencia para el estudio estuvo conformada por un total de 747 niños</w:t>
      </w:r>
      <w:r w:rsidR="008349F9" w:rsidRPr="00723562">
        <w:t>, el 46.1% de sexo femenino, y el 53.9% de sexo masculino.</w:t>
      </w:r>
    </w:p>
    <w:p w:rsidR="0075264A" w:rsidRPr="00723562" w:rsidRDefault="0075264A" w:rsidP="0000602F">
      <w:pPr>
        <w:spacing w:line="360" w:lineRule="auto"/>
        <w:jc w:val="both"/>
      </w:pPr>
      <w:r w:rsidRPr="00723562">
        <w:t>Para la selección de la población participante, se tomó en consideración al total de niños de 4to a 7mo grado de básica de estas Unidades Educativas, reportados con trastornos específicos del aprendizaje. Fueron excluidos los niños con discapacidad intelectual, y discapacidades sensoriales y motoras que interfieren en el aprendizaje escolar común (</w:t>
      </w:r>
      <w:r w:rsidR="004F6DEF">
        <w:t>discapacidad visual</w:t>
      </w:r>
      <w:r w:rsidRPr="00723562">
        <w:t>, aditiva, y motora de las extremidades superiores).</w:t>
      </w:r>
    </w:p>
    <w:p w:rsidR="0075264A" w:rsidRPr="00723562" w:rsidRDefault="0075264A" w:rsidP="0000602F">
      <w:pPr>
        <w:spacing w:line="360" w:lineRule="auto"/>
        <w:jc w:val="both"/>
        <w:rPr>
          <w:b/>
          <w:i/>
        </w:rPr>
      </w:pPr>
      <w:r w:rsidRPr="00723562">
        <w:rPr>
          <w:b/>
          <w:i/>
        </w:rPr>
        <w:t>Métodos y procedimientos para la recolección de datos</w:t>
      </w:r>
    </w:p>
    <w:p w:rsidR="0075264A" w:rsidRPr="00723562" w:rsidRDefault="0075264A" w:rsidP="0000602F">
      <w:pPr>
        <w:spacing w:line="360" w:lineRule="auto"/>
        <w:jc w:val="both"/>
      </w:pPr>
      <w:r w:rsidRPr="00723562">
        <w:t xml:space="preserve">La selección de la población de estudio para la investigación, y la obtención de los datos sociodemográficos de cada participante, </w:t>
      </w:r>
      <w:r w:rsidR="00F76D45" w:rsidRPr="00723562">
        <w:t>implicó</w:t>
      </w:r>
      <w:r w:rsidRPr="00723562">
        <w:t xml:space="preserve"> la solicitud de autorización a los rectores de las Unidades Educativas ant</w:t>
      </w:r>
      <w:r w:rsidR="00B33175" w:rsidRPr="00723562">
        <w:t>es referidas</w:t>
      </w:r>
      <w:r w:rsidRPr="00723562">
        <w:t xml:space="preserve"> para el acceso a sus respectivas instituciones. Todo ello, amparado por los </w:t>
      </w:r>
      <w:r w:rsidRPr="00723562">
        <w:rPr>
          <w:i/>
        </w:rPr>
        <w:t>Convenios Marcos</w:t>
      </w:r>
      <w:r w:rsidRPr="00723562">
        <w:t xml:space="preserve"> establecidos por la ULEAM con el Ministerio de Educación del Ecuador, y el Distrito de Educación Cantonal de Manta</w:t>
      </w:r>
      <w:r w:rsidR="00611059" w:rsidRPr="00723562">
        <w:t>.</w:t>
      </w:r>
      <w:r w:rsidRPr="00723562">
        <w:t xml:space="preserve"> </w:t>
      </w:r>
      <w:r w:rsidR="00611059" w:rsidRPr="00723562">
        <w:t>E</w:t>
      </w:r>
      <w:r w:rsidRPr="00723562">
        <w:t>n todo momento</w:t>
      </w:r>
      <w:r w:rsidR="00611059" w:rsidRPr="00723562">
        <w:t xml:space="preserve"> fueron observados</w:t>
      </w:r>
      <w:r w:rsidRPr="00723562">
        <w:t xml:space="preserve"> </w:t>
      </w:r>
      <w:r w:rsidRPr="00723562">
        <w:lastRenderedPageBreak/>
        <w:t>los procedimientos establecidos por la ley ecuatoriana para regular el acceso con fines investigativos a instituciones educativas.</w:t>
      </w:r>
    </w:p>
    <w:p w:rsidR="0075264A" w:rsidRPr="00723562" w:rsidRDefault="0075264A" w:rsidP="0000602F">
      <w:pPr>
        <w:spacing w:line="360" w:lineRule="auto"/>
        <w:jc w:val="both"/>
      </w:pPr>
      <w:r w:rsidRPr="00723562">
        <w:t xml:space="preserve">Una vez recepcionada y aprobada la solicitud de acceso a las Unidades Educativas por sus rectores, estos últimos impusieron a los profesionales </w:t>
      </w:r>
      <w:r w:rsidR="00D87396" w:rsidRPr="00723562">
        <w:t xml:space="preserve">encargados </w:t>
      </w:r>
      <w:r w:rsidRPr="00723562">
        <w:t xml:space="preserve">de los </w:t>
      </w:r>
      <w:r w:rsidR="00D87396" w:rsidRPr="00723562">
        <w:t xml:space="preserve">Departamentos de Consejería Estudiantil </w:t>
      </w:r>
      <w:r w:rsidRPr="00723562">
        <w:t>(</w:t>
      </w:r>
      <w:r w:rsidR="00D87396" w:rsidRPr="00723562">
        <w:t>en l</w:t>
      </w:r>
      <w:r w:rsidR="00F76D45" w:rsidRPr="00723562">
        <w:t>o</w:t>
      </w:r>
      <w:r w:rsidR="00D87396" w:rsidRPr="00723562">
        <w:t xml:space="preserve"> adelante </w:t>
      </w:r>
      <w:r w:rsidRPr="00723562">
        <w:t>D</w:t>
      </w:r>
      <w:r w:rsidR="00D87396" w:rsidRPr="00723562">
        <w:t>E</w:t>
      </w:r>
      <w:r w:rsidRPr="00723562">
        <w:t>CE) para que facilitaran a los investigadores la información solicitada. Este procedimiento inicial no implicó la solicitud de consentimiento informado de los padres de los niños participantes, porque en ninguno de los casos se trabajó directamente con los niños, ni se registraron datos personales de identidad.</w:t>
      </w:r>
    </w:p>
    <w:p w:rsidR="0075264A" w:rsidRPr="00723562" w:rsidRDefault="0075264A" w:rsidP="0000602F">
      <w:pPr>
        <w:spacing w:line="360" w:lineRule="auto"/>
        <w:jc w:val="both"/>
      </w:pPr>
      <w:r w:rsidRPr="00723562">
        <w:t xml:space="preserve">Inicialmente los profesionales </w:t>
      </w:r>
      <w:r w:rsidR="00EA3C97" w:rsidRPr="00723562">
        <w:t xml:space="preserve">responsables </w:t>
      </w:r>
      <w:r w:rsidRPr="00723562">
        <w:t>de</w:t>
      </w:r>
      <w:r w:rsidR="00EA3C97" w:rsidRPr="00723562">
        <w:t xml:space="preserve"> </w:t>
      </w:r>
      <w:r w:rsidRPr="00723562">
        <w:t>l</w:t>
      </w:r>
      <w:r w:rsidR="00EA3C97" w:rsidRPr="00723562">
        <w:t>os</w:t>
      </w:r>
      <w:r w:rsidRPr="00723562">
        <w:t xml:space="preserve"> D</w:t>
      </w:r>
      <w:r w:rsidR="00EA3C97" w:rsidRPr="00723562">
        <w:t>E</w:t>
      </w:r>
      <w:r w:rsidRPr="00723562">
        <w:t xml:space="preserve">CE </w:t>
      </w:r>
      <w:r w:rsidR="00EA3C97" w:rsidRPr="00723562">
        <w:t xml:space="preserve">en cada Unidad Educativa </w:t>
      </w:r>
      <w:r w:rsidRPr="00723562">
        <w:t>proporcionaron a los investigadores toda la relación de niños repo</w:t>
      </w:r>
      <w:r w:rsidR="00611059" w:rsidRPr="00723562">
        <w:t>r</w:t>
      </w:r>
      <w:r w:rsidRPr="00723562">
        <w:t xml:space="preserve">tados por sus docentes por problemas de rendimiento académico, y </w:t>
      </w:r>
      <w:r w:rsidR="00611059" w:rsidRPr="00723562">
        <w:t xml:space="preserve">del </w:t>
      </w:r>
      <w:r w:rsidRPr="00723562">
        <w:t>aprendi</w:t>
      </w:r>
      <w:r w:rsidRPr="00723562">
        <w:t>zaje.</w:t>
      </w:r>
    </w:p>
    <w:p w:rsidR="0075264A" w:rsidRPr="00723562" w:rsidRDefault="0075264A" w:rsidP="0000602F">
      <w:pPr>
        <w:spacing w:line="360" w:lineRule="auto"/>
        <w:jc w:val="both"/>
      </w:pPr>
      <w:r w:rsidRPr="00723562">
        <w:t>A partir de esta relación</w:t>
      </w:r>
      <w:r w:rsidR="00611059" w:rsidRPr="00723562">
        <w:t xml:space="preserve"> de niños</w:t>
      </w:r>
      <w:r w:rsidRPr="00723562">
        <w:t xml:space="preserve">, de los reportes </w:t>
      </w:r>
      <w:r w:rsidR="00611059" w:rsidRPr="00723562">
        <w:t xml:space="preserve">docentes </w:t>
      </w:r>
      <w:r w:rsidRPr="00723562">
        <w:t xml:space="preserve">de cada caso, y de </w:t>
      </w:r>
      <w:r w:rsidR="00611059" w:rsidRPr="00723562">
        <w:t xml:space="preserve">los informes de </w:t>
      </w:r>
      <w:r w:rsidRPr="00723562">
        <w:t>evaluación psicológica y del desempeño escolar realizado por los profesionales del D</w:t>
      </w:r>
      <w:r w:rsidR="00EA3C97" w:rsidRPr="00723562">
        <w:t>E</w:t>
      </w:r>
      <w:r w:rsidRPr="00723562">
        <w:t xml:space="preserve">CE, fueron identificados los niños cuyos problemas </w:t>
      </w:r>
      <w:r w:rsidR="00611059" w:rsidRPr="00723562">
        <w:t>de rendimiento académico</w:t>
      </w:r>
      <w:r w:rsidRPr="00723562">
        <w:t xml:space="preserve"> se correspondían con trastornos específicos del aprendizaje</w:t>
      </w:r>
      <w:r w:rsidR="00611059" w:rsidRPr="00723562">
        <w:t xml:space="preserve">, asumiendo para ello los criterios diagnósticos presentados en el </w:t>
      </w:r>
      <w:r w:rsidR="001119D5" w:rsidRPr="00723562">
        <w:t>Manual Diagnóstico y Estadístico de los Trastornos Mentales en su 5ta edición (</w:t>
      </w:r>
      <w:r w:rsidR="00611059" w:rsidRPr="00723562">
        <w:t>DSM-5</w:t>
      </w:r>
      <w:r w:rsidR="001119D5" w:rsidRPr="00723562">
        <w:t>)</w:t>
      </w:r>
      <w:r w:rsidR="00611059" w:rsidRPr="00723562">
        <w:t>.</w:t>
      </w:r>
    </w:p>
    <w:p w:rsidR="00611059" w:rsidRPr="00723562" w:rsidRDefault="00611059" w:rsidP="0000602F">
      <w:pPr>
        <w:spacing w:line="360" w:lineRule="auto"/>
        <w:jc w:val="both"/>
      </w:pPr>
      <w:r w:rsidRPr="00723562">
        <w:t xml:space="preserve">Una vez identificados los niños con trastornos específicos del aprendizaje, se procedió a la aplicación del Modelo para el Registro de Datos Sociodemográficos del Estudiante. </w:t>
      </w:r>
      <w:r w:rsidR="004F6DEF">
        <w:t>En</w:t>
      </w:r>
      <w:r w:rsidR="00E91236" w:rsidRPr="00723562">
        <w:t xml:space="preserve"> este modelo se tomaron en consideración las variables: edad, género, año escolar, problema específico del aprendizaje, etnia, </w:t>
      </w:r>
      <w:r w:rsidR="009A03F7" w:rsidRPr="00723562">
        <w:t xml:space="preserve">zona de residencia (parroquia), </w:t>
      </w:r>
      <w:r w:rsidR="00E91236" w:rsidRPr="00723562">
        <w:t>estructura familiar, nivel escolar y ocupación de los padres, nivel socioeconómico, y nivel escolar de los docentes a cargo del niño.</w:t>
      </w:r>
    </w:p>
    <w:p w:rsidR="0075264A" w:rsidRPr="00723562" w:rsidRDefault="0075264A" w:rsidP="0000602F">
      <w:pPr>
        <w:autoSpaceDE w:val="0"/>
        <w:autoSpaceDN w:val="0"/>
        <w:adjustRightInd w:val="0"/>
        <w:spacing w:line="360" w:lineRule="auto"/>
        <w:jc w:val="both"/>
        <w:rPr>
          <w:b/>
          <w:i/>
        </w:rPr>
      </w:pPr>
      <w:r w:rsidRPr="00723562">
        <w:rPr>
          <w:b/>
          <w:i/>
        </w:rPr>
        <w:t>Métodos y procedimientos para el procesamiento estadístico</w:t>
      </w:r>
    </w:p>
    <w:p w:rsidR="00E91236" w:rsidRPr="00723562" w:rsidRDefault="00E91236" w:rsidP="0000602F">
      <w:pPr>
        <w:autoSpaceDE w:val="0"/>
        <w:autoSpaceDN w:val="0"/>
        <w:adjustRightInd w:val="0"/>
        <w:spacing w:line="360" w:lineRule="auto"/>
        <w:jc w:val="both"/>
      </w:pPr>
      <w:r w:rsidRPr="00723562">
        <w:t xml:space="preserve">El análisis de datos y el procesamiento estadístico se realizó con el </w:t>
      </w:r>
      <w:r w:rsidR="005979FD" w:rsidRPr="00723562">
        <w:rPr>
          <w:i/>
        </w:rPr>
        <w:t xml:space="preserve">Statistical Package for the Social Sciences </w:t>
      </w:r>
      <w:r w:rsidRPr="00723562">
        <w:t xml:space="preserve">(SPSS 22.0). </w:t>
      </w:r>
      <w:r w:rsidR="004F6DEF" w:rsidRPr="00723562">
        <w:t>Primeramente,</w:t>
      </w:r>
      <w:r w:rsidRPr="00723562">
        <w:t xml:space="preserve"> se construyó una base de datos con las variables consideradas en el estudio. Luego se ingresaron los datos regi</w:t>
      </w:r>
      <w:r w:rsidR="000657CC" w:rsidRPr="00723562">
        <w:t>strados de cada caso estudiado.</w:t>
      </w:r>
    </w:p>
    <w:p w:rsidR="00E91236" w:rsidRPr="00723562" w:rsidRDefault="00E91236" w:rsidP="0000602F">
      <w:pPr>
        <w:autoSpaceDE w:val="0"/>
        <w:autoSpaceDN w:val="0"/>
        <w:adjustRightInd w:val="0"/>
        <w:spacing w:line="360" w:lineRule="auto"/>
        <w:jc w:val="both"/>
      </w:pPr>
      <w:r w:rsidRPr="00723562">
        <w:t xml:space="preserve">El procesamiento de estos datos implicó la utilización de </w:t>
      </w:r>
      <w:r w:rsidRPr="00723562">
        <w:rPr>
          <w:i/>
        </w:rPr>
        <w:t>Pruebas de estadística descriptiva</w:t>
      </w:r>
      <w:r w:rsidRPr="00723562">
        <w:t xml:space="preserve"> para variables independientes, como distribuciones de frecuencia</w:t>
      </w:r>
      <w:r w:rsidR="007F7F05" w:rsidRPr="00723562">
        <w:t>s absolutas y relativas</w:t>
      </w:r>
      <w:r w:rsidRPr="00723562">
        <w:t xml:space="preserve">, y </w:t>
      </w:r>
      <w:r w:rsidRPr="00723562">
        <w:rPr>
          <w:i/>
        </w:rPr>
        <w:t>medidas de tendencia central</w:t>
      </w:r>
      <w:r w:rsidR="007F7F05" w:rsidRPr="00723562">
        <w:rPr>
          <w:i/>
        </w:rPr>
        <w:t xml:space="preserve"> y de dispersión</w:t>
      </w:r>
      <w:r w:rsidRPr="00723562">
        <w:t>, como media</w:t>
      </w:r>
      <w:r w:rsidR="007F7F05" w:rsidRPr="00723562">
        <w:t xml:space="preserve">, rango, y </w:t>
      </w:r>
      <w:r w:rsidRPr="00723562">
        <w:t>desviación estándar.</w:t>
      </w:r>
      <w:r w:rsidR="0076026E" w:rsidRPr="00723562">
        <w:t xml:space="preserve"> </w:t>
      </w:r>
      <w:r w:rsidR="007F7F05" w:rsidRPr="00723562">
        <w:t>Con e</w:t>
      </w:r>
      <w:r w:rsidR="00F76D45" w:rsidRPr="00723562">
        <w:t>sto</w:t>
      </w:r>
      <w:r w:rsidR="007F7F05" w:rsidRPr="00723562">
        <w:t xml:space="preserve"> se logró caracterizar desde el punto de vista sociodemográfico a la población participante.</w:t>
      </w:r>
    </w:p>
    <w:p w:rsidR="004F6DEF" w:rsidRDefault="004F6DEF" w:rsidP="0000602F">
      <w:pPr>
        <w:spacing w:line="360" w:lineRule="auto"/>
        <w:jc w:val="both"/>
        <w:rPr>
          <w:b/>
        </w:rPr>
      </w:pPr>
    </w:p>
    <w:p w:rsidR="004F6DEF" w:rsidRDefault="004F6DEF" w:rsidP="0000602F">
      <w:pPr>
        <w:spacing w:line="360" w:lineRule="auto"/>
        <w:jc w:val="both"/>
        <w:rPr>
          <w:b/>
        </w:rPr>
      </w:pPr>
    </w:p>
    <w:p w:rsidR="0075264A" w:rsidRPr="00723562" w:rsidRDefault="0075264A" w:rsidP="0000602F">
      <w:pPr>
        <w:spacing w:line="360" w:lineRule="auto"/>
        <w:jc w:val="both"/>
        <w:rPr>
          <w:b/>
        </w:rPr>
      </w:pPr>
      <w:r w:rsidRPr="00723562">
        <w:rPr>
          <w:b/>
        </w:rPr>
        <w:lastRenderedPageBreak/>
        <w:t>R</w:t>
      </w:r>
      <w:r w:rsidR="00FA651D" w:rsidRPr="00723562">
        <w:rPr>
          <w:b/>
        </w:rPr>
        <w:t>esultados</w:t>
      </w:r>
    </w:p>
    <w:p w:rsidR="006660E8" w:rsidRPr="00723562" w:rsidRDefault="0075264A" w:rsidP="0000602F">
      <w:pPr>
        <w:spacing w:line="360" w:lineRule="auto"/>
        <w:jc w:val="both"/>
      </w:pPr>
      <w:r w:rsidRPr="00723562">
        <w:t xml:space="preserve">La población </w:t>
      </w:r>
      <w:r w:rsidR="00962EDC" w:rsidRPr="00723562">
        <w:t xml:space="preserve">general </w:t>
      </w:r>
      <w:r w:rsidR="008734F5" w:rsidRPr="00723562">
        <w:t>de niños de 4to a 7mo grado de básica de las Unidades Educativas estudiadas, fue de 747 niños, el 53.9% de sexo masculino</w:t>
      </w:r>
      <w:r w:rsidR="00C16FE7" w:rsidRPr="00723562">
        <w:t>, y el 46.1</w:t>
      </w:r>
      <w:r w:rsidR="00962EDC" w:rsidRPr="00723562">
        <w:t>% de sexo femenino</w:t>
      </w:r>
      <w:r w:rsidR="008734F5" w:rsidRPr="00723562">
        <w:t>.</w:t>
      </w:r>
      <w:r w:rsidR="004104E3" w:rsidRPr="00723562">
        <w:t xml:space="preserve"> </w:t>
      </w:r>
    </w:p>
    <w:p w:rsidR="00DD0E32" w:rsidRPr="00723562" w:rsidRDefault="005365D7" w:rsidP="0000602F">
      <w:pPr>
        <w:spacing w:line="360" w:lineRule="auto"/>
        <w:jc w:val="both"/>
      </w:pPr>
      <w:r w:rsidRPr="00723562">
        <w:t>A partir de</w:t>
      </w:r>
      <w:r w:rsidR="004104E3" w:rsidRPr="00723562">
        <w:t xml:space="preserve"> esta población </w:t>
      </w:r>
      <w:r w:rsidR="00962EDC" w:rsidRPr="00723562">
        <w:t xml:space="preserve">general </w:t>
      </w:r>
      <w:r w:rsidR="004104E3" w:rsidRPr="00723562">
        <w:t>fue identificado</w:t>
      </w:r>
      <w:r w:rsidR="00962EDC" w:rsidRPr="00723562">
        <w:t xml:space="preserve"> un total de 98 niños</w:t>
      </w:r>
      <w:r w:rsidR="004104E3" w:rsidRPr="00723562">
        <w:t xml:space="preserve"> </w:t>
      </w:r>
      <w:r w:rsidR="008734F5" w:rsidRPr="00723562">
        <w:t>con trastornos específicos del aprendizaje</w:t>
      </w:r>
      <w:r w:rsidR="004104E3" w:rsidRPr="00723562">
        <w:t xml:space="preserve">, </w:t>
      </w:r>
      <w:r w:rsidR="009D251D" w:rsidRPr="00723562">
        <w:t xml:space="preserve">el </w:t>
      </w:r>
      <w:r w:rsidR="00801DAD" w:rsidRPr="00723562">
        <w:t>67.3</w:t>
      </w:r>
      <w:r w:rsidR="009D251D" w:rsidRPr="00723562">
        <w:t xml:space="preserve">% de sexo masculino, y el </w:t>
      </w:r>
      <w:r w:rsidR="00801DAD" w:rsidRPr="00723562">
        <w:t>32.7</w:t>
      </w:r>
      <w:r w:rsidR="009D251D" w:rsidRPr="00723562">
        <w:t>% de sexo femenino.</w:t>
      </w:r>
      <w:r w:rsidRPr="00723562">
        <w:t xml:space="preserve"> De estos</w:t>
      </w:r>
      <w:r w:rsidR="00DD0E32" w:rsidRPr="00723562">
        <w:t>, el 38.8% (38 niños) pertenec</w:t>
      </w:r>
      <w:r w:rsidR="00D96643" w:rsidRPr="00723562">
        <w:t>e</w:t>
      </w:r>
      <w:r w:rsidR="00DD0E32" w:rsidRPr="00723562">
        <w:t xml:space="preserve"> a la Unidad Educativa “4 de Noviembre”, el 22.4% (22 niños) a la Unidad Educativa “José Peralta”, y el 38.8% (38 niños) a la Unidad Educativa “Israel”.</w:t>
      </w:r>
    </w:p>
    <w:p w:rsidR="00801DAD" w:rsidRPr="00723562" w:rsidRDefault="00D96643" w:rsidP="0000602F">
      <w:pPr>
        <w:spacing w:line="360" w:lineRule="auto"/>
        <w:jc w:val="both"/>
      </w:pPr>
      <w:r w:rsidRPr="00723562">
        <w:t>El</w:t>
      </w:r>
      <w:r w:rsidR="009D251D" w:rsidRPr="00723562">
        <w:t xml:space="preserve"> total de niños con trastornos específicos del aprendizaje, </w:t>
      </w:r>
      <w:r w:rsidR="00D968B1" w:rsidRPr="00723562">
        <w:t xml:space="preserve">representa </w:t>
      </w:r>
      <w:r w:rsidR="009D251D" w:rsidRPr="00723562">
        <w:t>el 13.2%</w:t>
      </w:r>
      <w:r w:rsidR="004104E3" w:rsidRPr="00723562">
        <w:t xml:space="preserve"> de </w:t>
      </w:r>
      <w:r w:rsidR="00D968B1" w:rsidRPr="00723562">
        <w:t xml:space="preserve">la población general de niños de </w:t>
      </w:r>
      <w:r w:rsidR="009D251D" w:rsidRPr="00723562">
        <w:t>4to a 7mo grado de básica de las Unidades Educativas estudiadas.</w:t>
      </w:r>
      <w:r w:rsidR="00CE12C1" w:rsidRPr="00723562">
        <w:t xml:space="preserve"> En la Unidad Educativa “4 de Noviembre”, </w:t>
      </w:r>
      <w:r w:rsidR="00276C02" w:rsidRPr="00723562">
        <w:t xml:space="preserve">se registra un 13.2% </w:t>
      </w:r>
      <w:r w:rsidR="00CE12C1" w:rsidRPr="00723562">
        <w:t>de niños con trastornos específicos del aprendizaje</w:t>
      </w:r>
      <w:r w:rsidR="00276C02" w:rsidRPr="00723562">
        <w:t xml:space="preserve">, de 4to a 7mo grado de básica. En </w:t>
      </w:r>
      <w:r w:rsidR="00CE12C1" w:rsidRPr="00723562">
        <w:t xml:space="preserve">Unidad Educativa “José Peralta”, </w:t>
      </w:r>
      <w:r w:rsidR="00276C02" w:rsidRPr="00723562">
        <w:t>la proporción de niños con trasto</w:t>
      </w:r>
      <w:r w:rsidRPr="00723562">
        <w:t>rnos específicos del aprendizaje</w:t>
      </w:r>
      <w:r w:rsidR="00276C02" w:rsidRPr="00723562">
        <w:t xml:space="preserve"> de 4to a 7mo grado de básica, es del 6.8%. En tanto en la </w:t>
      </w:r>
      <w:r w:rsidR="00CE12C1" w:rsidRPr="00723562">
        <w:t>Unidad Educativa “Israel”</w:t>
      </w:r>
      <w:r w:rsidR="00276C02" w:rsidRPr="00723562">
        <w:t>, se registra un 17.3% de niños con trastornos específicos del aprendizaje, de 4to a 7mo grado de básica.</w:t>
      </w:r>
    </w:p>
    <w:p w:rsidR="008E6E52" w:rsidRPr="00723562" w:rsidRDefault="00150BF7" w:rsidP="0000602F">
      <w:pPr>
        <w:spacing w:line="360" w:lineRule="auto"/>
        <w:jc w:val="both"/>
      </w:pPr>
      <w:r w:rsidRPr="00723562">
        <w:t xml:space="preserve">Los trastornos específicos del aprendizaje fueron registrados tomando en consideración el área académica afectada, y el nivel de gravedad de las alteraciones. En el 14.3% de los niños se registraron dificultades específicas para el razonamiento matemático, y el dominio del sentido numérico. En el 37.8% fueron registradas dificultades específicas para la lectura, ya sea en la precisión y rapidez, como en la comprensión de los significados. En el 19.4% fueron registradas dificultades específicas para la expresión escrita. En tanto, en un 28.6% se registraron dificultades en más de un área académica, incluyendo matemáticas, lectura y escritura indistintamente. En la </w:t>
      </w:r>
      <w:r w:rsidRPr="00723562">
        <w:rPr>
          <w:i/>
        </w:rPr>
        <w:t>Tabla 1</w:t>
      </w:r>
      <w:r w:rsidRPr="00723562">
        <w:t xml:space="preserve"> se muestra la gravedad de las dificultades del aprendizaje registradas en la po</w:t>
      </w:r>
      <w:r w:rsidR="000657CC" w:rsidRPr="00723562">
        <w:t>blación total de participantes.</w:t>
      </w:r>
    </w:p>
    <w:tbl>
      <w:tblPr>
        <w:tblW w:w="9419" w:type="dxa"/>
        <w:jc w:val="center"/>
        <w:tblBorders>
          <w:insideH w:val="single" w:sz="4" w:space="0" w:color="auto"/>
          <w:insideV w:val="single" w:sz="4" w:space="0" w:color="auto"/>
        </w:tblBorders>
        <w:tblLook w:val="04A0" w:firstRow="1" w:lastRow="0" w:firstColumn="1" w:lastColumn="0" w:noHBand="0" w:noVBand="1"/>
      </w:tblPr>
      <w:tblGrid>
        <w:gridCol w:w="2552"/>
        <w:gridCol w:w="850"/>
        <w:gridCol w:w="851"/>
        <w:gridCol w:w="850"/>
        <w:gridCol w:w="851"/>
        <w:gridCol w:w="850"/>
        <w:gridCol w:w="851"/>
        <w:gridCol w:w="850"/>
        <w:gridCol w:w="914"/>
      </w:tblGrid>
      <w:tr w:rsidR="00723562" w:rsidRPr="000E1168" w:rsidTr="00CB45C6">
        <w:trPr>
          <w:jc w:val="center"/>
        </w:trPr>
        <w:tc>
          <w:tcPr>
            <w:tcW w:w="9419" w:type="dxa"/>
            <w:gridSpan w:val="9"/>
            <w:shd w:val="clear" w:color="auto" w:fill="auto"/>
          </w:tcPr>
          <w:p w:rsidR="00723562" w:rsidRPr="000E1168" w:rsidRDefault="00723562" w:rsidP="00CB45C6">
            <w:pPr>
              <w:spacing w:before="240" w:after="120"/>
              <w:jc w:val="both"/>
              <w:rPr>
                <w:sz w:val="22"/>
                <w:szCs w:val="22"/>
              </w:rPr>
            </w:pPr>
            <w:r w:rsidRPr="000E1168">
              <w:rPr>
                <w:b/>
                <w:sz w:val="22"/>
                <w:szCs w:val="22"/>
              </w:rPr>
              <w:t>Tabla 1.</w:t>
            </w:r>
            <w:r w:rsidRPr="000E1168">
              <w:rPr>
                <w:sz w:val="22"/>
                <w:szCs w:val="22"/>
              </w:rPr>
              <w:t xml:space="preserve"> Distribución de frecuencias en relación a</w:t>
            </w:r>
            <w:r w:rsidRPr="000E1168">
              <w:rPr>
                <w:color w:val="000000"/>
                <w:sz w:val="22"/>
                <w:szCs w:val="22"/>
              </w:rPr>
              <w:t xml:space="preserve"> la gravedad de las dificultades del aprendizaje registradas en la población total de participantes.</w:t>
            </w:r>
          </w:p>
        </w:tc>
      </w:tr>
      <w:tr w:rsidR="00723562" w:rsidRPr="000E1168" w:rsidTr="00CB45C6">
        <w:trPr>
          <w:jc w:val="center"/>
        </w:trPr>
        <w:tc>
          <w:tcPr>
            <w:tcW w:w="2552" w:type="dxa"/>
            <w:vMerge w:val="restart"/>
            <w:tcBorders>
              <w:top w:val="single" w:sz="4" w:space="0" w:color="auto"/>
              <w:bottom w:val="single" w:sz="4" w:space="0" w:color="auto"/>
              <w:right w:val="nil"/>
            </w:tcBorders>
            <w:shd w:val="clear" w:color="auto" w:fill="auto"/>
          </w:tcPr>
          <w:p w:rsidR="00723562" w:rsidRPr="000E1168" w:rsidRDefault="00723562" w:rsidP="00CB45C6">
            <w:pPr>
              <w:spacing w:before="40" w:after="40"/>
              <w:ind w:hanging="101"/>
              <w:jc w:val="center"/>
              <w:rPr>
                <w:b/>
                <w:sz w:val="8"/>
                <w:szCs w:val="8"/>
              </w:rPr>
            </w:pPr>
          </w:p>
          <w:p w:rsidR="00723562" w:rsidRPr="000E1168" w:rsidRDefault="00723562" w:rsidP="00CB45C6">
            <w:pPr>
              <w:spacing w:before="40" w:after="40"/>
              <w:ind w:hanging="101"/>
              <w:jc w:val="center"/>
              <w:rPr>
                <w:b/>
                <w:color w:val="C00000"/>
                <w:sz w:val="20"/>
                <w:szCs w:val="20"/>
              </w:rPr>
            </w:pPr>
            <w:r w:rsidRPr="000E1168">
              <w:rPr>
                <w:b/>
                <w:sz w:val="20"/>
                <w:szCs w:val="20"/>
              </w:rPr>
              <w:t>Dificultades del aprendizaje</w:t>
            </w:r>
          </w:p>
        </w:tc>
        <w:tc>
          <w:tcPr>
            <w:tcW w:w="1701" w:type="dxa"/>
            <w:gridSpan w:val="2"/>
            <w:tcBorders>
              <w:top w:val="single" w:sz="4" w:space="0" w:color="auto"/>
              <w:left w:val="nil"/>
              <w:bottom w:val="single" w:sz="4" w:space="0" w:color="auto"/>
              <w:right w:val="nil"/>
            </w:tcBorders>
            <w:shd w:val="clear" w:color="auto" w:fill="auto"/>
          </w:tcPr>
          <w:p w:rsidR="00723562" w:rsidRPr="000E1168" w:rsidRDefault="00723562" w:rsidP="00CB45C6">
            <w:pPr>
              <w:spacing w:before="40" w:after="40"/>
              <w:ind w:right="-128" w:hanging="108"/>
              <w:jc w:val="center"/>
              <w:rPr>
                <w:sz w:val="20"/>
                <w:szCs w:val="20"/>
              </w:rPr>
            </w:pPr>
            <w:r w:rsidRPr="000E1168">
              <w:rPr>
                <w:sz w:val="20"/>
                <w:szCs w:val="20"/>
              </w:rPr>
              <w:t>Total</w:t>
            </w:r>
          </w:p>
        </w:tc>
        <w:tc>
          <w:tcPr>
            <w:tcW w:w="1701" w:type="dxa"/>
            <w:gridSpan w:val="2"/>
            <w:tcBorders>
              <w:top w:val="single" w:sz="4" w:space="0" w:color="auto"/>
              <w:left w:val="nil"/>
              <w:bottom w:val="single" w:sz="4" w:space="0" w:color="auto"/>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Leve</w:t>
            </w:r>
          </w:p>
        </w:tc>
        <w:tc>
          <w:tcPr>
            <w:tcW w:w="1701" w:type="dxa"/>
            <w:gridSpan w:val="2"/>
            <w:tcBorders>
              <w:top w:val="single" w:sz="4" w:space="0" w:color="auto"/>
              <w:left w:val="nil"/>
              <w:bottom w:val="single" w:sz="4" w:space="0" w:color="auto"/>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Moderada</w:t>
            </w:r>
          </w:p>
        </w:tc>
        <w:tc>
          <w:tcPr>
            <w:tcW w:w="1764" w:type="dxa"/>
            <w:gridSpan w:val="2"/>
            <w:tcBorders>
              <w:top w:val="single" w:sz="4" w:space="0" w:color="auto"/>
              <w:left w:val="nil"/>
              <w:bottom w:val="single" w:sz="4" w:space="0" w:color="auto"/>
            </w:tcBorders>
            <w:shd w:val="clear" w:color="auto" w:fill="auto"/>
          </w:tcPr>
          <w:p w:rsidR="00723562" w:rsidRPr="000E1168" w:rsidRDefault="00723562" w:rsidP="00CB45C6">
            <w:pPr>
              <w:spacing w:before="40" w:after="40"/>
              <w:jc w:val="center"/>
              <w:rPr>
                <w:sz w:val="20"/>
                <w:szCs w:val="20"/>
              </w:rPr>
            </w:pPr>
            <w:r w:rsidRPr="000E1168">
              <w:rPr>
                <w:sz w:val="20"/>
                <w:szCs w:val="20"/>
              </w:rPr>
              <w:t>Profunda</w:t>
            </w:r>
          </w:p>
        </w:tc>
      </w:tr>
      <w:tr w:rsidR="00723562" w:rsidRPr="000E1168" w:rsidTr="00CB45C6">
        <w:trPr>
          <w:jc w:val="center"/>
        </w:trPr>
        <w:tc>
          <w:tcPr>
            <w:tcW w:w="2552" w:type="dxa"/>
            <w:vMerge/>
            <w:tcBorders>
              <w:top w:val="single" w:sz="4" w:space="0" w:color="auto"/>
              <w:bottom w:val="single" w:sz="4" w:space="0" w:color="auto"/>
              <w:right w:val="nil"/>
            </w:tcBorders>
            <w:shd w:val="clear" w:color="auto" w:fill="auto"/>
          </w:tcPr>
          <w:p w:rsidR="00723562" w:rsidRPr="000E1168" w:rsidRDefault="00723562" w:rsidP="00CB45C6">
            <w:pPr>
              <w:spacing w:before="40" w:after="40"/>
              <w:jc w:val="center"/>
              <w:rPr>
                <w:sz w:val="20"/>
                <w:szCs w:val="20"/>
              </w:rPr>
            </w:pPr>
          </w:p>
        </w:tc>
        <w:tc>
          <w:tcPr>
            <w:tcW w:w="850" w:type="dxa"/>
            <w:tcBorders>
              <w:top w:val="single" w:sz="4" w:space="0" w:color="auto"/>
              <w:left w:val="nil"/>
              <w:bottom w:val="single" w:sz="4" w:space="0" w:color="auto"/>
              <w:right w:val="nil"/>
            </w:tcBorders>
            <w:shd w:val="clear" w:color="auto" w:fill="auto"/>
          </w:tcPr>
          <w:p w:rsidR="00723562" w:rsidRPr="000E1168" w:rsidRDefault="00723562" w:rsidP="00CB45C6">
            <w:pPr>
              <w:spacing w:before="40" w:after="40"/>
              <w:jc w:val="center"/>
              <w:rPr>
                <w:b/>
                <w:sz w:val="20"/>
                <w:szCs w:val="20"/>
              </w:rPr>
            </w:pPr>
            <w:r w:rsidRPr="000E1168">
              <w:rPr>
                <w:b/>
                <w:sz w:val="20"/>
                <w:szCs w:val="20"/>
              </w:rPr>
              <w:t>No</w:t>
            </w:r>
          </w:p>
        </w:tc>
        <w:tc>
          <w:tcPr>
            <w:tcW w:w="851" w:type="dxa"/>
            <w:tcBorders>
              <w:top w:val="single" w:sz="4" w:space="0" w:color="auto"/>
              <w:left w:val="nil"/>
              <w:bottom w:val="single" w:sz="4" w:space="0" w:color="auto"/>
              <w:right w:val="nil"/>
            </w:tcBorders>
            <w:shd w:val="clear" w:color="auto" w:fill="auto"/>
          </w:tcPr>
          <w:p w:rsidR="00723562" w:rsidRPr="000E1168" w:rsidRDefault="00723562" w:rsidP="00CB45C6">
            <w:pPr>
              <w:spacing w:before="40" w:after="40"/>
              <w:jc w:val="center"/>
              <w:rPr>
                <w:b/>
                <w:sz w:val="20"/>
                <w:szCs w:val="20"/>
              </w:rPr>
            </w:pPr>
            <w:r w:rsidRPr="000E1168">
              <w:rPr>
                <w:b/>
                <w:sz w:val="20"/>
                <w:szCs w:val="20"/>
              </w:rPr>
              <w:t>%</w:t>
            </w:r>
          </w:p>
        </w:tc>
        <w:tc>
          <w:tcPr>
            <w:tcW w:w="850" w:type="dxa"/>
            <w:tcBorders>
              <w:top w:val="single" w:sz="4" w:space="0" w:color="auto"/>
              <w:left w:val="nil"/>
              <w:bottom w:val="single" w:sz="4" w:space="0" w:color="auto"/>
              <w:right w:val="nil"/>
            </w:tcBorders>
            <w:shd w:val="clear" w:color="auto" w:fill="auto"/>
          </w:tcPr>
          <w:p w:rsidR="00723562" w:rsidRPr="000E1168" w:rsidRDefault="00723562" w:rsidP="00CB45C6">
            <w:pPr>
              <w:spacing w:before="40" w:after="40"/>
              <w:jc w:val="center"/>
              <w:rPr>
                <w:b/>
                <w:sz w:val="20"/>
                <w:szCs w:val="20"/>
              </w:rPr>
            </w:pPr>
            <w:r w:rsidRPr="000E1168">
              <w:rPr>
                <w:b/>
                <w:sz w:val="20"/>
                <w:szCs w:val="20"/>
              </w:rPr>
              <w:t>No</w:t>
            </w:r>
          </w:p>
        </w:tc>
        <w:tc>
          <w:tcPr>
            <w:tcW w:w="851" w:type="dxa"/>
            <w:tcBorders>
              <w:top w:val="single" w:sz="4" w:space="0" w:color="auto"/>
              <w:left w:val="nil"/>
              <w:bottom w:val="single" w:sz="4" w:space="0" w:color="auto"/>
              <w:right w:val="nil"/>
            </w:tcBorders>
            <w:shd w:val="clear" w:color="auto" w:fill="auto"/>
          </w:tcPr>
          <w:p w:rsidR="00723562" w:rsidRPr="000E1168" w:rsidRDefault="00723562" w:rsidP="00CB45C6">
            <w:pPr>
              <w:spacing w:before="40" w:after="40"/>
              <w:jc w:val="center"/>
              <w:rPr>
                <w:b/>
                <w:sz w:val="20"/>
                <w:szCs w:val="20"/>
              </w:rPr>
            </w:pPr>
            <w:r w:rsidRPr="000E1168">
              <w:rPr>
                <w:b/>
                <w:sz w:val="20"/>
                <w:szCs w:val="20"/>
              </w:rPr>
              <w:t>%</w:t>
            </w:r>
          </w:p>
        </w:tc>
        <w:tc>
          <w:tcPr>
            <w:tcW w:w="850" w:type="dxa"/>
            <w:tcBorders>
              <w:top w:val="single" w:sz="4" w:space="0" w:color="auto"/>
              <w:left w:val="nil"/>
              <w:bottom w:val="single" w:sz="4" w:space="0" w:color="auto"/>
              <w:right w:val="nil"/>
            </w:tcBorders>
            <w:shd w:val="clear" w:color="auto" w:fill="auto"/>
          </w:tcPr>
          <w:p w:rsidR="00723562" w:rsidRPr="000E1168" w:rsidRDefault="00723562" w:rsidP="00CB45C6">
            <w:pPr>
              <w:spacing w:before="40" w:after="40"/>
              <w:jc w:val="center"/>
              <w:rPr>
                <w:b/>
                <w:sz w:val="20"/>
                <w:szCs w:val="20"/>
              </w:rPr>
            </w:pPr>
            <w:r w:rsidRPr="000E1168">
              <w:rPr>
                <w:b/>
                <w:sz w:val="20"/>
                <w:szCs w:val="20"/>
              </w:rPr>
              <w:t>No</w:t>
            </w:r>
          </w:p>
        </w:tc>
        <w:tc>
          <w:tcPr>
            <w:tcW w:w="851" w:type="dxa"/>
            <w:tcBorders>
              <w:top w:val="single" w:sz="4" w:space="0" w:color="auto"/>
              <w:left w:val="nil"/>
              <w:bottom w:val="single" w:sz="4" w:space="0" w:color="auto"/>
              <w:right w:val="nil"/>
            </w:tcBorders>
            <w:shd w:val="clear" w:color="auto" w:fill="auto"/>
          </w:tcPr>
          <w:p w:rsidR="00723562" w:rsidRPr="000E1168" w:rsidRDefault="00723562" w:rsidP="00CB45C6">
            <w:pPr>
              <w:spacing w:before="40" w:after="40"/>
              <w:jc w:val="center"/>
              <w:rPr>
                <w:b/>
                <w:sz w:val="20"/>
                <w:szCs w:val="20"/>
              </w:rPr>
            </w:pPr>
            <w:r w:rsidRPr="000E1168">
              <w:rPr>
                <w:b/>
                <w:sz w:val="20"/>
                <w:szCs w:val="20"/>
              </w:rPr>
              <w:t>%</w:t>
            </w:r>
          </w:p>
        </w:tc>
        <w:tc>
          <w:tcPr>
            <w:tcW w:w="850" w:type="dxa"/>
            <w:tcBorders>
              <w:top w:val="single" w:sz="4" w:space="0" w:color="auto"/>
              <w:left w:val="nil"/>
              <w:bottom w:val="single" w:sz="4" w:space="0" w:color="auto"/>
              <w:right w:val="nil"/>
            </w:tcBorders>
            <w:shd w:val="clear" w:color="auto" w:fill="auto"/>
          </w:tcPr>
          <w:p w:rsidR="00723562" w:rsidRPr="000E1168" w:rsidRDefault="00723562" w:rsidP="00CB45C6">
            <w:pPr>
              <w:spacing w:before="40" w:after="40"/>
              <w:jc w:val="center"/>
              <w:rPr>
                <w:b/>
                <w:sz w:val="20"/>
                <w:szCs w:val="20"/>
              </w:rPr>
            </w:pPr>
            <w:r w:rsidRPr="000E1168">
              <w:rPr>
                <w:b/>
                <w:sz w:val="20"/>
                <w:szCs w:val="20"/>
              </w:rPr>
              <w:t>No</w:t>
            </w:r>
          </w:p>
        </w:tc>
        <w:tc>
          <w:tcPr>
            <w:tcW w:w="914" w:type="dxa"/>
            <w:tcBorders>
              <w:top w:val="single" w:sz="4" w:space="0" w:color="auto"/>
              <w:left w:val="nil"/>
              <w:bottom w:val="single" w:sz="4" w:space="0" w:color="auto"/>
            </w:tcBorders>
            <w:shd w:val="clear" w:color="auto" w:fill="auto"/>
          </w:tcPr>
          <w:p w:rsidR="00723562" w:rsidRPr="000E1168" w:rsidRDefault="00723562" w:rsidP="00CB45C6">
            <w:pPr>
              <w:spacing w:before="40" w:after="40"/>
              <w:jc w:val="center"/>
              <w:rPr>
                <w:b/>
                <w:sz w:val="20"/>
                <w:szCs w:val="20"/>
              </w:rPr>
            </w:pPr>
            <w:r w:rsidRPr="000E1168">
              <w:rPr>
                <w:b/>
                <w:sz w:val="20"/>
                <w:szCs w:val="20"/>
              </w:rPr>
              <w:t>%</w:t>
            </w:r>
          </w:p>
        </w:tc>
      </w:tr>
      <w:tr w:rsidR="00723562" w:rsidRPr="000E1168" w:rsidTr="00CB45C6">
        <w:trPr>
          <w:jc w:val="center"/>
        </w:trPr>
        <w:tc>
          <w:tcPr>
            <w:tcW w:w="2552" w:type="dxa"/>
            <w:tcBorders>
              <w:top w:val="single" w:sz="4" w:space="0" w:color="auto"/>
              <w:bottom w:val="nil"/>
              <w:right w:val="nil"/>
            </w:tcBorders>
            <w:shd w:val="clear" w:color="auto" w:fill="auto"/>
          </w:tcPr>
          <w:p w:rsidR="00723562" w:rsidRPr="000E1168" w:rsidRDefault="00723562" w:rsidP="00CB45C6">
            <w:pPr>
              <w:spacing w:before="40" w:after="40"/>
              <w:jc w:val="both"/>
              <w:rPr>
                <w:color w:val="000000"/>
                <w:sz w:val="20"/>
                <w:szCs w:val="20"/>
              </w:rPr>
            </w:pPr>
            <w:r w:rsidRPr="000E1168">
              <w:rPr>
                <w:color w:val="000000"/>
                <w:sz w:val="20"/>
                <w:szCs w:val="20"/>
              </w:rPr>
              <w:t>Matemáticas</w:t>
            </w:r>
          </w:p>
        </w:tc>
        <w:tc>
          <w:tcPr>
            <w:tcW w:w="850" w:type="dxa"/>
            <w:tcBorders>
              <w:top w:val="single" w:sz="4" w:space="0" w:color="auto"/>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14</w:t>
            </w:r>
          </w:p>
        </w:tc>
        <w:tc>
          <w:tcPr>
            <w:tcW w:w="851" w:type="dxa"/>
            <w:tcBorders>
              <w:top w:val="single" w:sz="4" w:space="0" w:color="auto"/>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14.3</w:t>
            </w:r>
          </w:p>
        </w:tc>
        <w:tc>
          <w:tcPr>
            <w:tcW w:w="850" w:type="dxa"/>
            <w:tcBorders>
              <w:top w:val="single" w:sz="4" w:space="0" w:color="auto"/>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9</w:t>
            </w:r>
          </w:p>
        </w:tc>
        <w:tc>
          <w:tcPr>
            <w:tcW w:w="851" w:type="dxa"/>
            <w:tcBorders>
              <w:top w:val="single" w:sz="4" w:space="0" w:color="auto"/>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9.1</w:t>
            </w:r>
          </w:p>
        </w:tc>
        <w:tc>
          <w:tcPr>
            <w:tcW w:w="850" w:type="dxa"/>
            <w:tcBorders>
              <w:top w:val="single" w:sz="4" w:space="0" w:color="auto"/>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5</w:t>
            </w:r>
          </w:p>
        </w:tc>
        <w:tc>
          <w:tcPr>
            <w:tcW w:w="851" w:type="dxa"/>
            <w:tcBorders>
              <w:top w:val="single" w:sz="4" w:space="0" w:color="auto"/>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5.1</w:t>
            </w:r>
          </w:p>
        </w:tc>
        <w:tc>
          <w:tcPr>
            <w:tcW w:w="850" w:type="dxa"/>
            <w:tcBorders>
              <w:top w:val="single" w:sz="4" w:space="0" w:color="auto"/>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0</w:t>
            </w:r>
          </w:p>
        </w:tc>
        <w:tc>
          <w:tcPr>
            <w:tcW w:w="914" w:type="dxa"/>
            <w:tcBorders>
              <w:top w:val="single" w:sz="4" w:space="0" w:color="auto"/>
              <w:left w:val="nil"/>
              <w:bottom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0</w:t>
            </w:r>
          </w:p>
        </w:tc>
      </w:tr>
      <w:tr w:rsidR="00723562" w:rsidRPr="000E1168" w:rsidTr="00CB45C6">
        <w:trPr>
          <w:jc w:val="center"/>
        </w:trPr>
        <w:tc>
          <w:tcPr>
            <w:tcW w:w="2552" w:type="dxa"/>
            <w:tcBorders>
              <w:top w:val="nil"/>
              <w:bottom w:val="nil"/>
              <w:right w:val="nil"/>
            </w:tcBorders>
            <w:shd w:val="clear" w:color="auto" w:fill="auto"/>
          </w:tcPr>
          <w:p w:rsidR="00723562" w:rsidRPr="000E1168" w:rsidRDefault="00723562" w:rsidP="00CB45C6">
            <w:pPr>
              <w:spacing w:before="40" w:after="40"/>
              <w:jc w:val="both"/>
              <w:rPr>
                <w:color w:val="000000"/>
                <w:sz w:val="20"/>
                <w:szCs w:val="20"/>
              </w:rPr>
            </w:pPr>
            <w:r w:rsidRPr="000E1168">
              <w:rPr>
                <w:color w:val="000000"/>
                <w:sz w:val="20"/>
                <w:szCs w:val="20"/>
              </w:rPr>
              <w:t>Lectura</w:t>
            </w:r>
          </w:p>
        </w:tc>
        <w:tc>
          <w:tcPr>
            <w:tcW w:w="850"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37</w:t>
            </w:r>
          </w:p>
        </w:tc>
        <w:tc>
          <w:tcPr>
            <w:tcW w:w="851" w:type="dxa"/>
            <w:tcBorders>
              <w:top w:val="nil"/>
              <w:left w:val="nil"/>
              <w:bottom w:val="nil"/>
              <w:right w:val="nil"/>
            </w:tcBorders>
            <w:shd w:val="clear" w:color="auto" w:fill="auto"/>
          </w:tcPr>
          <w:p w:rsidR="00723562" w:rsidRPr="000E1168" w:rsidRDefault="00723562" w:rsidP="00CB45C6">
            <w:pPr>
              <w:spacing w:before="40" w:after="40"/>
              <w:ind w:right="-108" w:hanging="104"/>
              <w:jc w:val="center"/>
              <w:rPr>
                <w:sz w:val="20"/>
                <w:szCs w:val="20"/>
              </w:rPr>
            </w:pPr>
            <w:r w:rsidRPr="000E1168">
              <w:rPr>
                <w:sz w:val="20"/>
                <w:szCs w:val="20"/>
              </w:rPr>
              <w:t>37.8</w:t>
            </w:r>
          </w:p>
        </w:tc>
        <w:tc>
          <w:tcPr>
            <w:tcW w:w="850"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24</w:t>
            </w:r>
          </w:p>
        </w:tc>
        <w:tc>
          <w:tcPr>
            <w:tcW w:w="851"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24.5</w:t>
            </w:r>
          </w:p>
        </w:tc>
        <w:tc>
          <w:tcPr>
            <w:tcW w:w="850"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13</w:t>
            </w:r>
          </w:p>
        </w:tc>
        <w:tc>
          <w:tcPr>
            <w:tcW w:w="851"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13.3</w:t>
            </w:r>
          </w:p>
        </w:tc>
        <w:tc>
          <w:tcPr>
            <w:tcW w:w="850"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0</w:t>
            </w:r>
          </w:p>
        </w:tc>
        <w:tc>
          <w:tcPr>
            <w:tcW w:w="914" w:type="dxa"/>
            <w:tcBorders>
              <w:top w:val="nil"/>
              <w:left w:val="nil"/>
              <w:bottom w:val="nil"/>
            </w:tcBorders>
            <w:shd w:val="clear" w:color="auto" w:fill="auto"/>
          </w:tcPr>
          <w:p w:rsidR="00723562" w:rsidRPr="000E1168" w:rsidRDefault="00723562" w:rsidP="00CB45C6">
            <w:pPr>
              <w:spacing w:before="40" w:after="40"/>
              <w:ind w:right="-108" w:hanging="100"/>
              <w:jc w:val="center"/>
              <w:rPr>
                <w:sz w:val="20"/>
                <w:szCs w:val="20"/>
              </w:rPr>
            </w:pPr>
            <w:r w:rsidRPr="000E1168">
              <w:rPr>
                <w:sz w:val="20"/>
                <w:szCs w:val="20"/>
              </w:rPr>
              <w:t>0</w:t>
            </w:r>
          </w:p>
        </w:tc>
      </w:tr>
      <w:tr w:rsidR="00723562" w:rsidRPr="000E1168" w:rsidTr="00CB45C6">
        <w:trPr>
          <w:jc w:val="center"/>
        </w:trPr>
        <w:tc>
          <w:tcPr>
            <w:tcW w:w="2552" w:type="dxa"/>
            <w:tcBorders>
              <w:top w:val="nil"/>
              <w:bottom w:val="nil"/>
              <w:right w:val="nil"/>
            </w:tcBorders>
            <w:shd w:val="clear" w:color="auto" w:fill="auto"/>
          </w:tcPr>
          <w:p w:rsidR="00723562" w:rsidRPr="000E1168" w:rsidRDefault="00723562" w:rsidP="00CB45C6">
            <w:pPr>
              <w:spacing w:before="40" w:after="40"/>
              <w:jc w:val="both"/>
              <w:rPr>
                <w:color w:val="000000"/>
                <w:sz w:val="20"/>
                <w:szCs w:val="20"/>
              </w:rPr>
            </w:pPr>
            <w:r w:rsidRPr="000E1168">
              <w:rPr>
                <w:color w:val="000000"/>
                <w:sz w:val="20"/>
                <w:szCs w:val="20"/>
              </w:rPr>
              <w:t>Escritura</w:t>
            </w:r>
          </w:p>
        </w:tc>
        <w:tc>
          <w:tcPr>
            <w:tcW w:w="850"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19</w:t>
            </w:r>
          </w:p>
        </w:tc>
        <w:tc>
          <w:tcPr>
            <w:tcW w:w="851" w:type="dxa"/>
            <w:tcBorders>
              <w:top w:val="nil"/>
              <w:left w:val="nil"/>
              <w:bottom w:val="nil"/>
              <w:right w:val="nil"/>
            </w:tcBorders>
            <w:shd w:val="clear" w:color="auto" w:fill="auto"/>
          </w:tcPr>
          <w:p w:rsidR="00723562" w:rsidRPr="000E1168" w:rsidRDefault="00723562" w:rsidP="00CB45C6">
            <w:pPr>
              <w:spacing w:before="40" w:after="40"/>
              <w:ind w:right="-108" w:hanging="104"/>
              <w:jc w:val="center"/>
              <w:rPr>
                <w:sz w:val="20"/>
                <w:szCs w:val="20"/>
              </w:rPr>
            </w:pPr>
            <w:r w:rsidRPr="000E1168">
              <w:rPr>
                <w:sz w:val="20"/>
                <w:szCs w:val="20"/>
              </w:rPr>
              <w:t>19.4</w:t>
            </w:r>
          </w:p>
        </w:tc>
        <w:tc>
          <w:tcPr>
            <w:tcW w:w="850"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16</w:t>
            </w:r>
          </w:p>
        </w:tc>
        <w:tc>
          <w:tcPr>
            <w:tcW w:w="851"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16.3</w:t>
            </w:r>
          </w:p>
        </w:tc>
        <w:tc>
          <w:tcPr>
            <w:tcW w:w="850"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3</w:t>
            </w:r>
          </w:p>
        </w:tc>
        <w:tc>
          <w:tcPr>
            <w:tcW w:w="851"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3.1</w:t>
            </w:r>
          </w:p>
        </w:tc>
        <w:tc>
          <w:tcPr>
            <w:tcW w:w="850"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0</w:t>
            </w:r>
          </w:p>
        </w:tc>
        <w:tc>
          <w:tcPr>
            <w:tcW w:w="914" w:type="dxa"/>
            <w:tcBorders>
              <w:top w:val="nil"/>
              <w:left w:val="nil"/>
              <w:bottom w:val="nil"/>
            </w:tcBorders>
            <w:shd w:val="clear" w:color="auto" w:fill="auto"/>
          </w:tcPr>
          <w:p w:rsidR="00723562" w:rsidRPr="000E1168" w:rsidRDefault="00723562" w:rsidP="00CB45C6">
            <w:pPr>
              <w:spacing w:before="40" w:after="40"/>
              <w:ind w:right="-108" w:hanging="100"/>
              <w:jc w:val="center"/>
              <w:rPr>
                <w:sz w:val="20"/>
                <w:szCs w:val="20"/>
              </w:rPr>
            </w:pPr>
            <w:r w:rsidRPr="000E1168">
              <w:rPr>
                <w:sz w:val="20"/>
                <w:szCs w:val="20"/>
              </w:rPr>
              <w:t>0</w:t>
            </w:r>
          </w:p>
        </w:tc>
      </w:tr>
      <w:tr w:rsidR="00723562" w:rsidRPr="000E1168" w:rsidTr="00CB45C6">
        <w:trPr>
          <w:jc w:val="center"/>
        </w:trPr>
        <w:tc>
          <w:tcPr>
            <w:tcW w:w="2552" w:type="dxa"/>
            <w:tcBorders>
              <w:top w:val="nil"/>
              <w:bottom w:val="single" w:sz="4" w:space="0" w:color="auto"/>
              <w:right w:val="nil"/>
            </w:tcBorders>
            <w:shd w:val="clear" w:color="auto" w:fill="auto"/>
          </w:tcPr>
          <w:p w:rsidR="00723562" w:rsidRPr="000E1168" w:rsidRDefault="00723562" w:rsidP="00CB45C6">
            <w:pPr>
              <w:spacing w:before="40" w:after="40"/>
              <w:jc w:val="both"/>
              <w:rPr>
                <w:color w:val="000000"/>
                <w:sz w:val="20"/>
                <w:szCs w:val="20"/>
              </w:rPr>
            </w:pPr>
            <w:r w:rsidRPr="000E1168">
              <w:rPr>
                <w:color w:val="000000"/>
                <w:sz w:val="20"/>
                <w:szCs w:val="20"/>
              </w:rPr>
              <w:t>Mixtas</w:t>
            </w:r>
          </w:p>
        </w:tc>
        <w:tc>
          <w:tcPr>
            <w:tcW w:w="850" w:type="dxa"/>
            <w:tcBorders>
              <w:top w:val="nil"/>
              <w:left w:val="nil"/>
              <w:bottom w:val="single" w:sz="4" w:space="0" w:color="auto"/>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28</w:t>
            </w:r>
          </w:p>
        </w:tc>
        <w:tc>
          <w:tcPr>
            <w:tcW w:w="851" w:type="dxa"/>
            <w:tcBorders>
              <w:top w:val="nil"/>
              <w:left w:val="nil"/>
              <w:bottom w:val="single" w:sz="4" w:space="0" w:color="auto"/>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28.6</w:t>
            </w:r>
          </w:p>
        </w:tc>
        <w:tc>
          <w:tcPr>
            <w:tcW w:w="850" w:type="dxa"/>
            <w:tcBorders>
              <w:top w:val="nil"/>
              <w:left w:val="nil"/>
              <w:bottom w:val="single" w:sz="4" w:space="0" w:color="auto"/>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19</w:t>
            </w:r>
          </w:p>
        </w:tc>
        <w:tc>
          <w:tcPr>
            <w:tcW w:w="851" w:type="dxa"/>
            <w:tcBorders>
              <w:top w:val="nil"/>
              <w:left w:val="nil"/>
              <w:bottom w:val="single" w:sz="4" w:space="0" w:color="auto"/>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19.4</w:t>
            </w:r>
          </w:p>
        </w:tc>
        <w:tc>
          <w:tcPr>
            <w:tcW w:w="850" w:type="dxa"/>
            <w:tcBorders>
              <w:top w:val="nil"/>
              <w:left w:val="nil"/>
              <w:bottom w:val="single" w:sz="4" w:space="0" w:color="auto"/>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4</w:t>
            </w:r>
          </w:p>
        </w:tc>
        <w:tc>
          <w:tcPr>
            <w:tcW w:w="851" w:type="dxa"/>
            <w:tcBorders>
              <w:top w:val="nil"/>
              <w:left w:val="nil"/>
              <w:bottom w:val="single" w:sz="4" w:space="0" w:color="auto"/>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4.1</w:t>
            </w:r>
          </w:p>
        </w:tc>
        <w:tc>
          <w:tcPr>
            <w:tcW w:w="850" w:type="dxa"/>
            <w:tcBorders>
              <w:top w:val="nil"/>
              <w:left w:val="nil"/>
              <w:bottom w:val="single" w:sz="4" w:space="0" w:color="auto"/>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5</w:t>
            </w:r>
          </w:p>
        </w:tc>
        <w:tc>
          <w:tcPr>
            <w:tcW w:w="914" w:type="dxa"/>
            <w:tcBorders>
              <w:top w:val="nil"/>
              <w:left w:val="nil"/>
              <w:bottom w:val="single" w:sz="4" w:space="0" w:color="auto"/>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5.1</w:t>
            </w:r>
          </w:p>
        </w:tc>
      </w:tr>
      <w:tr w:rsidR="00723562" w:rsidRPr="000E1168" w:rsidTr="00CB45C6">
        <w:trPr>
          <w:jc w:val="center"/>
        </w:trPr>
        <w:tc>
          <w:tcPr>
            <w:tcW w:w="2552" w:type="dxa"/>
            <w:tcBorders>
              <w:top w:val="single" w:sz="4" w:space="0" w:color="auto"/>
              <w:bottom w:val="single" w:sz="4" w:space="0" w:color="auto"/>
              <w:right w:val="nil"/>
            </w:tcBorders>
            <w:shd w:val="clear" w:color="auto" w:fill="auto"/>
          </w:tcPr>
          <w:p w:rsidR="00723562" w:rsidRPr="000E1168" w:rsidRDefault="00723562" w:rsidP="00CB45C6">
            <w:pPr>
              <w:spacing w:before="40" w:after="40"/>
              <w:jc w:val="both"/>
              <w:rPr>
                <w:color w:val="000000"/>
                <w:sz w:val="20"/>
                <w:szCs w:val="20"/>
              </w:rPr>
            </w:pPr>
            <w:r w:rsidRPr="000E1168">
              <w:rPr>
                <w:color w:val="000000"/>
                <w:sz w:val="20"/>
                <w:szCs w:val="20"/>
              </w:rPr>
              <w:t>Total</w:t>
            </w:r>
          </w:p>
        </w:tc>
        <w:tc>
          <w:tcPr>
            <w:tcW w:w="850" w:type="dxa"/>
            <w:tcBorders>
              <w:top w:val="single" w:sz="4" w:space="0" w:color="auto"/>
              <w:left w:val="nil"/>
              <w:bottom w:val="single" w:sz="4" w:space="0" w:color="auto"/>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98</w:t>
            </w:r>
          </w:p>
        </w:tc>
        <w:tc>
          <w:tcPr>
            <w:tcW w:w="851" w:type="dxa"/>
            <w:tcBorders>
              <w:top w:val="single" w:sz="4" w:space="0" w:color="auto"/>
              <w:left w:val="nil"/>
              <w:bottom w:val="single" w:sz="4" w:space="0" w:color="auto"/>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100.0</w:t>
            </w:r>
          </w:p>
        </w:tc>
        <w:tc>
          <w:tcPr>
            <w:tcW w:w="850" w:type="dxa"/>
            <w:tcBorders>
              <w:top w:val="single" w:sz="4" w:space="0" w:color="auto"/>
              <w:left w:val="nil"/>
              <w:bottom w:val="single" w:sz="4" w:space="0" w:color="auto"/>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68</w:t>
            </w:r>
          </w:p>
        </w:tc>
        <w:tc>
          <w:tcPr>
            <w:tcW w:w="851" w:type="dxa"/>
            <w:tcBorders>
              <w:top w:val="single" w:sz="4" w:space="0" w:color="auto"/>
              <w:left w:val="nil"/>
              <w:bottom w:val="single" w:sz="4" w:space="0" w:color="auto"/>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69.4</w:t>
            </w:r>
          </w:p>
        </w:tc>
        <w:tc>
          <w:tcPr>
            <w:tcW w:w="850" w:type="dxa"/>
            <w:tcBorders>
              <w:top w:val="single" w:sz="4" w:space="0" w:color="auto"/>
              <w:left w:val="nil"/>
              <w:bottom w:val="single" w:sz="4" w:space="0" w:color="auto"/>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25</w:t>
            </w:r>
          </w:p>
        </w:tc>
        <w:tc>
          <w:tcPr>
            <w:tcW w:w="851" w:type="dxa"/>
            <w:tcBorders>
              <w:top w:val="single" w:sz="4" w:space="0" w:color="auto"/>
              <w:left w:val="nil"/>
              <w:bottom w:val="single" w:sz="4" w:space="0" w:color="auto"/>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25.5</w:t>
            </w:r>
          </w:p>
        </w:tc>
        <w:tc>
          <w:tcPr>
            <w:tcW w:w="850" w:type="dxa"/>
            <w:tcBorders>
              <w:top w:val="single" w:sz="4" w:space="0" w:color="auto"/>
              <w:left w:val="nil"/>
              <w:bottom w:val="single" w:sz="4" w:space="0" w:color="auto"/>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5</w:t>
            </w:r>
          </w:p>
        </w:tc>
        <w:tc>
          <w:tcPr>
            <w:tcW w:w="914" w:type="dxa"/>
            <w:tcBorders>
              <w:top w:val="single" w:sz="4" w:space="0" w:color="auto"/>
              <w:left w:val="nil"/>
              <w:bottom w:val="single" w:sz="4" w:space="0" w:color="auto"/>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5.1</w:t>
            </w:r>
          </w:p>
        </w:tc>
      </w:tr>
      <w:tr w:rsidR="00723562" w:rsidRPr="000E1168" w:rsidTr="00CB45C6">
        <w:trPr>
          <w:jc w:val="center"/>
        </w:trPr>
        <w:tc>
          <w:tcPr>
            <w:tcW w:w="9419" w:type="dxa"/>
            <w:gridSpan w:val="9"/>
            <w:tcBorders>
              <w:top w:val="single" w:sz="4" w:space="0" w:color="auto"/>
            </w:tcBorders>
            <w:shd w:val="clear" w:color="auto" w:fill="auto"/>
          </w:tcPr>
          <w:p w:rsidR="00723562" w:rsidRPr="000E1168" w:rsidRDefault="00723562" w:rsidP="00CB45C6">
            <w:pPr>
              <w:spacing w:after="120"/>
              <w:jc w:val="both"/>
              <w:rPr>
                <w:color w:val="C00000"/>
                <w:sz w:val="20"/>
                <w:szCs w:val="20"/>
              </w:rPr>
            </w:pPr>
          </w:p>
        </w:tc>
      </w:tr>
    </w:tbl>
    <w:p w:rsidR="00062AE3" w:rsidRPr="00723562" w:rsidRDefault="00723562" w:rsidP="00501CA4">
      <w:pPr>
        <w:spacing w:line="480" w:lineRule="auto"/>
        <w:jc w:val="both"/>
      </w:pPr>
      <w:r w:rsidRPr="00723562">
        <w:lastRenderedPageBreak/>
        <w:t xml:space="preserve"> </w:t>
      </w:r>
      <w:r w:rsidR="00062AE3" w:rsidRPr="00723562">
        <w:t xml:space="preserve">En la </w:t>
      </w:r>
      <w:r w:rsidR="00062AE3" w:rsidRPr="00723562">
        <w:rPr>
          <w:i/>
        </w:rPr>
        <w:t xml:space="preserve">Tabla 2 </w:t>
      </w:r>
      <w:r w:rsidR="00062AE3" w:rsidRPr="00723562">
        <w:t>se muestra la distribución de frecuencias absolutas y relativas y gravedad de las dificultades del aprendizaje registradas en cada una de la</w:t>
      </w:r>
      <w:r w:rsidR="004F6DEF">
        <w:t>s</w:t>
      </w:r>
      <w:r w:rsidR="00062AE3" w:rsidRPr="00723562">
        <w:t xml:space="preserve"> </w:t>
      </w:r>
      <w:r w:rsidR="00F76D45" w:rsidRPr="00723562">
        <w:t>u</w:t>
      </w:r>
      <w:r w:rsidR="00062AE3" w:rsidRPr="00723562">
        <w:t xml:space="preserve">nidades </w:t>
      </w:r>
      <w:r w:rsidR="00F76D45" w:rsidRPr="00723562">
        <w:t>educativas</w:t>
      </w:r>
      <w:r w:rsidR="00062AE3" w:rsidRPr="00723562">
        <w:t xml:space="preserve"> donde se implementó el estudio.</w:t>
      </w:r>
    </w:p>
    <w:tbl>
      <w:tblPr>
        <w:tblW w:w="9419" w:type="dxa"/>
        <w:jc w:val="center"/>
        <w:tblBorders>
          <w:insideH w:val="single" w:sz="4" w:space="0" w:color="auto"/>
          <w:insideV w:val="single" w:sz="4" w:space="0" w:color="auto"/>
        </w:tblBorders>
        <w:tblLook w:val="04A0" w:firstRow="1" w:lastRow="0" w:firstColumn="1" w:lastColumn="0" w:noHBand="0" w:noVBand="1"/>
      </w:tblPr>
      <w:tblGrid>
        <w:gridCol w:w="2559"/>
        <w:gridCol w:w="850"/>
        <w:gridCol w:w="851"/>
        <w:gridCol w:w="850"/>
        <w:gridCol w:w="851"/>
        <w:gridCol w:w="843"/>
        <w:gridCol w:w="844"/>
        <w:gridCol w:w="857"/>
        <w:gridCol w:w="914"/>
      </w:tblGrid>
      <w:tr w:rsidR="00723562" w:rsidRPr="000E1168" w:rsidTr="00CB45C6">
        <w:trPr>
          <w:jc w:val="center"/>
        </w:trPr>
        <w:tc>
          <w:tcPr>
            <w:tcW w:w="9419" w:type="dxa"/>
            <w:gridSpan w:val="9"/>
            <w:shd w:val="clear" w:color="auto" w:fill="auto"/>
          </w:tcPr>
          <w:p w:rsidR="00723562" w:rsidRPr="000E1168" w:rsidRDefault="00723562" w:rsidP="00CB45C6">
            <w:pPr>
              <w:spacing w:before="240" w:after="120"/>
              <w:jc w:val="both"/>
              <w:rPr>
                <w:sz w:val="22"/>
                <w:szCs w:val="22"/>
              </w:rPr>
            </w:pPr>
            <w:r w:rsidRPr="000E1168">
              <w:rPr>
                <w:b/>
                <w:sz w:val="22"/>
                <w:szCs w:val="22"/>
              </w:rPr>
              <w:t>Tabla 2.</w:t>
            </w:r>
            <w:r w:rsidRPr="000E1168">
              <w:rPr>
                <w:sz w:val="22"/>
                <w:szCs w:val="22"/>
              </w:rPr>
              <w:t xml:space="preserve"> Distribución de frecuencias </w:t>
            </w:r>
            <w:r w:rsidRPr="000E1168">
              <w:rPr>
                <w:color w:val="000000"/>
                <w:sz w:val="22"/>
                <w:szCs w:val="22"/>
              </w:rPr>
              <w:t>de las dificultades del aprendizaje registradas por Unidades Docentes.</w:t>
            </w:r>
          </w:p>
        </w:tc>
      </w:tr>
      <w:tr w:rsidR="00723562" w:rsidRPr="000E1168" w:rsidTr="00CB45C6">
        <w:trPr>
          <w:jc w:val="center"/>
        </w:trPr>
        <w:tc>
          <w:tcPr>
            <w:tcW w:w="2559" w:type="dxa"/>
            <w:vMerge w:val="restart"/>
            <w:tcBorders>
              <w:top w:val="single" w:sz="4" w:space="0" w:color="auto"/>
              <w:bottom w:val="single" w:sz="4" w:space="0" w:color="auto"/>
              <w:right w:val="nil"/>
            </w:tcBorders>
            <w:shd w:val="clear" w:color="auto" w:fill="auto"/>
          </w:tcPr>
          <w:p w:rsidR="00723562" w:rsidRPr="000E1168" w:rsidRDefault="00723562" w:rsidP="00CB45C6">
            <w:pPr>
              <w:spacing w:before="40" w:after="40"/>
              <w:ind w:hanging="101"/>
              <w:jc w:val="center"/>
              <w:rPr>
                <w:b/>
                <w:sz w:val="10"/>
                <w:szCs w:val="10"/>
              </w:rPr>
            </w:pPr>
          </w:p>
          <w:p w:rsidR="00723562" w:rsidRPr="000E1168" w:rsidRDefault="00723562" w:rsidP="00CB45C6">
            <w:pPr>
              <w:spacing w:before="40" w:after="40"/>
              <w:ind w:hanging="101"/>
              <w:jc w:val="center"/>
              <w:rPr>
                <w:b/>
                <w:color w:val="C00000"/>
                <w:sz w:val="20"/>
                <w:szCs w:val="20"/>
              </w:rPr>
            </w:pPr>
            <w:r w:rsidRPr="000E1168">
              <w:rPr>
                <w:b/>
                <w:sz w:val="20"/>
                <w:szCs w:val="20"/>
              </w:rPr>
              <w:t>Dificultades del aprendizaje</w:t>
            </w:r>
          </w:p>
        </w:tc>
        <w:tc>
          <w:tcPr>
            <w:tcW w:w="1701" w:type="dxa"/>
            <w:gridSpan w:val="2"/>
            <w:tcBorders>
              <w:top w:val="single" w:sz="4" w:space="0" w:color="auto"/>
              <w:left w:val="nil"/>
              <w:bottom w:val="single" w:sz="4" w:space="0" w:color="auto"/>
              <w:right w:val="nil"/>
            </w:tcBorders>
            <w:shd w:val="clear" w:color="auto" w:fill="auto"/>
          </w:tcPr>
          <w:p w:rsidR="00723562" w:rsidRPr="000E1168" w:rsidRDefault="00723562" w:rsidP="00CB45C6">
            <w:pPr>
              <w:spacing w:before="40" w:after="40"/>
              <w:ind w:right="-128" w:hanging="108"/>
              <w:jc w:val="center"/>
              <w:rPr>
                <w:color w:val="000000"/>
                <w:sz w:val="20"/>
                <w:szCs w:val="20"/>
              </w:rPr>
            </w:pPr>
            <w:r w:rsidRPr="000E1168">
              <w:rPr>
                <w:color w:val="000000"/>
                <w:sz w:val="20"/>
                <w:szCs w:val="20"/>
              </w:rPr>
              <w:t>4 de Noviembre</w:t>
            </w:r>
          </w:p>
        </w:tc>
        <w:tc>
          <w:tcPr>
            <w:tcW w:w="1701" w:type="dxa"/>
            <w:gridSpan w:val="2"/>
            <w:tcBorders>
              <w:top w:val="single" w:sz="4" w:space="0" w:color="auto"/>
              <w:left w:val="nil"/>
              <w:bottom w:val="single" w:sz="4" w:space="0" w:color="auto"/>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José Peralta</w:t>
            </w:r>
          </w:p>
        </w:tc>
        <w:tc>
          <w:tcPr>
            <w:tcW w:w="1687" w:type="dxa"/>
            <w:gridSpan w:val="2"/>
            <w:tcBorders>
              <w:top w:val="single" w:sz="4" w:space="0" w:color="auto"/>
              <w:left w:val="nil"/>
              <w:bottom w:val="single" w:sz="4" w:space="0" w:color="auto"/>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Israel</w:t>
            </w:r>
          </w:p>
        </w:tc>
        <w:tc>
          <w:tcPr>
            <w:tcW w:w="1771" w:type="dxa"/>
            <w:gridSpan w:val="2"/>
            <w:tcBorders>
              <w:top w:val="single" w:sz="4" w:space="0" w:color="auto"/>
              <w:left w:val="nil"/>
              <w:bottom w:val="single" w:sz="4" w:space="0" w:color="auto"/>
            </w:tcBorders>
            <w:shd w:val="clear" w:color="auto" w:fill="auto"/>
          </w:tcPr>
          <w:p w:rsidR="00723562" w:rsidRPr="000E1168" w:rsidRDefault="00723562" w:rsidP="00CB45C6">
            <w:pPr>
              <w:spacing w:before="40" w:after="40"/>
              <w:jc w:val="center"/>
              <w:rPr>
                <w:sz w:val="20"/>
                <w:szCs w:val="20"/>
              </w:rPr>
            </w:pPr>
            <w:r w:rsidRPr="000E1168">
              <w:rPr>
                <w:sz w:val="20"/>
                <w:szCs w:val="20"/>
              </w:rPr>
              <w:t>Total</w:t>
            </w:r>
          </w:p>
        </w:tc>
      </w:tr>
      <w:tr w:rsidR="00723562" w:rsidRPr="000E1168" w:rsidTr="00CB45C6">
        <w:trPr>
          <w:jc w:val="center"/>
        </w:trPr>
        <w:tc>
          <w:tcPr>
            <w:tcW w:w="2559" w:type="dxa"/>
            <w:vMerge/>
            <w:tcBorders>
              <w:top w:val="single" w:sz="4" w:space="0" w:color="auto"/>
              <w:bottom w:val="single" w:sz="4" w:space="0" w:color="auto"/>
              <w:right w:val="nil"/>
            </w:tcBorders>
            <w:shd w:val="clear" w:color="auto" w:fill="auto"/>
          </w:tcPr>
          <w:p w:rsidR="00723562" w:rsidRPr="000E1168" w:rsidRDefault="00723562" w:rsidP="00CB45C6">
            <w:pPr>
              <w:spacing w:before="40" w:after="40"/>
              <w:jc w:val="center"/>
              <w:rPr>
                <w:sz w:val="20"/>
                <w:szCs w:val="20"/>
              </w:rPr>
            </w:pPr>
          </w:p>
        </w:tc>
        <w:tc>
          <w:tcPr>
            <w:tcW w:w="850" w:type="dxa"/>
            <w:tcBorders>
              <w:top w:val="single" w:sz="4" w:space="0" w:color="auto"/>
              <w:left w:val="nil"/>
              <w:bottom w:val="single" w:sz="4" w:space="0" w:color="auto"/>
              <w:right w:val="nil"/>
            </w:tcBorders>
            <w:shd w:val="clear" w:color="auto" w:fill="auto"/>
          </w:tcPr>
          <w:p w:rsidR="00723562" w:rsidRPr="000E1168" w:rsidRDefault="00723562" w:rsidP="00CB45C6">
            <w:pPr>
              <w:spacing w:before="40" w:after="40"/>
              <w:jc w:val="center"/>
              <w:rPr>
                <w:b/>
                <w:sz w:val="20"/>
                <w:szCs w:val="20"/>
              </w:rPr>
            </w:pPr>
            <w:r w:rsidRPr="000E1168">
              <w:rPr>
                <w:b/>
                <w:sz w:val="20"/>
                <w:szCs w:val="20"/>
              </w:rPr>
              <w:t>No</w:t>
            </w:r>
          </w:p>
        </w:tc>
        <w:tc>
          <w:tcPr>
            <w:tcW w:w="851" w:type="dxa"/>
            <w:tcBorders>
              <w:top w:val="single" w:sz="4" w:space="0" w:color="auto"/>
              <w:left w:val="nil"/>
              <w:bottom w:val="single" w:sz="4" w:space="0" w:color="auto"/>
              <w:right w:val="nil"/>
            </w:tcBorders>
            <w:shd w:val="clear" w:color="auto" w:fill="auto"/>
          </w:tcPr>
          <w:p w:rsidR="00723562" w:rsidRPr="000E1168" w:rsidRDefault="00723562" w:rsidP="00CB45C6">
            <w:pPr>
              <w:spacing w:before="40" w:after="40"/>
              <w:jc w:val="center"/>
              <w:rPr>
                <w:b/>
                <w:sz w:val="20"/>
                <w:szCs w:val="20"/>
              </w:rPr>
            </w:pPr>
            <w:r w:rsidRPr="000E1168">
              <w:rPr>
                <w:b/>
                <w:sz w:val="20"/>
                <w:szCs w:val="20"/>
              </w:rPr>
              <w:t>%</w:t>
            </w:r>
          </w:p>
        </w:tc>
        <w:tc>
          <w:tcPr>
            <w:tcW w:w="850" w:type="dxa"/>
            <w:tcBorders>
              <w:top w:val="single" w:sz="4" w:space="0" w:color="auto"/>
              <w:left w:val="nil"/>
              <w:bottom w:val="single" w:sz="4" w:space="0" w:color="auto"/>
              <w:right w:val="nil"/>
            </w:tcBorders>
            <w:shd w:val="clear" w:color="auto" w:fill="auto"/>
          </w:tcPr>
          <w:p w:rsidR="00723562" w:rsidRPr="000E1168" w:rsidRDefault="00723562" w:rsidP="00CB45C6">
            <w:pPr>
              <w:spacing w:before="40" w:after="40"/>
              <w:jc w:val="center"/>
              <w:rPr>
                <w:b/>
                <w:sz w:val="20"/>
                <w:szCs w:val="20"/>
              </w:rPr>
            </w:pPr>
            <w:r w:rsidRPr="000E1168">
              <w:rPr>
                <w:b/>
                <w:sz w:val="20"/>
                <w:szCs w:val="20"/>
              </w:rPr>
              <w:t>No</w:t>
            </w:r>
          </w:p>
        </w:tc>
        <w:tc>
          <w:tcPr>
            <w:tcW w:w="851" w:type="dxa"/>
            <w:tcBorders>
              <w:top w:val="single" w:sz="4" w:space="0" w:color="auto"/>
              <w:left w:val="nil"/>
              <w:bottom w:val="single" w:sz="4" w:space="0" w:color="auto"/>
              <w:right w:val="nil"/>
            </w:tcBorders>
            <w:shd w:val="clear" w:color="auto" w:fill="auto"/>
          </w:tcPr>
          <w:p w:rsidR="00723562" w:rsidRPr="000E1168" w:rsidRDefault="00723562" w:rsidP="00CB45C6">
            <w:pPr>
              <w:spacing w:before="40" w:after="40"/>
              <w:jc w:val="center"/>
              <w:rPr>
                <w:b/>
                <w:sz w:val="20"/>
                <w:szCs w:val="20"/>
              </w:rPr>
            </w:pPr>
            <w:r w:rsidRPr="000E1168">
              <w:rPr>
                <w:b/>
                <w:sz w:val="20"/>
                <w:szCs w:val="20"/>
              </w:rPr>
              <w:t>%</w:t>
            </w:r>
          </w:p>
        </w:tc>
        <w:tc>
          <w:tcPr>
            <w:tcW w:w="843" w:type="dxa"/>
            <w:tcBorders>
              <w:top w:val="single" w:sz="4" w:space="0" w:color="auto"/>
              <w:left w:val="nil"/>
              <w:bottom w:val="single" w:sz="4" w:space="0" w:color="auto"/>
              <w:right w:val="nil"/>
            </w:tcBorders>
            <w:shd w:val="clear" w:color="auto" w:fill="auto"/>
          </w:tcPr>
          <w:p w:rsidR="00723562" w:rsidRPr="000E1168" w:rsidRDefault="00723562" w:rsidP="00CB45C6">
            <w:pPr>
              <w:spacing w:before="40" w:after="40"/>
              <w:jc w:val="center"/>
              <w:rPr>
                <w:b/>
                <w:sz w:val="20"/>
                <w:szCs w:val="20"/>
              </w:rPr>
            </w:pPr>
            <w:r w:rsidRPr="000E1168">
              <w:rPr>
                <w:b/>
                <w:sz w:val="20"/>
                <w:szCs w:val="20"/>
              </w:rPr>
              <w:t>No</w:t>
            </w:r>
          </w:p>
        </w:tc>
        <w:tc>
          <w:tcPr>
            <w:tcW w:w="844" w:type="dxa"/>
            <w:tcBorders>
              <w:top w:val="single" w:sz="4" w:space="0" w:color="auto"/>
              <w:left w:val="nil"/>
              <w:bottom w:val="single" w:sz="4" w:space="0" w:color="auto"/>
              <w:right w:val="nil"/>
            </w:tcBorders>
            <w:shd w:val="clear" w:color="auto" w:fill="auto"/>
          </w:tcPr>
          <w:p w:rsidR="00723562" w:rsidRPr="000E1168" w:rsidRDefault="00723562" w:rsidP="00CB45C6">
            <w:pPr>
              <w:spacing w:before="40" w:after="40"/>
              <w:jc w:val="center"/>
              <w:rPr>
                <w:b/>
                <w:sz w:val="20"/>
                <w:szCs w:val="20"/>
              </w:rPr>
            </w:pPr>
            <w:r w:rsidRPr="000E1168">
              <w:rPr>
                <w:b/>
                <w:sz w:val="20"/>
                <w:szCs w:val="20"/>
              </w:rPr>
              <w:t>%</w:t>
            </w:r>
          </w:p>
        </w:tc>
        <w:tc>
          <w:tcPr>
            <w:tcW w:w="857" w:type="dxa"/>
            <w:tcBorders>
              <w:top w:val="single" w:sz="4" w:space="0" w:color="auto"/>
              <w:left w:val="nil"/>
              <w:bottom w:val="single" w:sz="4" w:space="0" w:color="auto"/>
              <w:right w:val="nil"/>
            </w:tcBorders>
            <w:shd w:val="clear" w:color="auto" w:fill="auto"/>
          </w:tcPr>
          <w:p w:rsidR="00723562" w:rsidRPr="000E1168" w:rsidRDefault="00723562" w:rsidP="00CB45C6">
            <w:pPr>
              <w:spacing w:before="40" w:after="40"/>
              <w:jc w:val="center"/>
              <w:rPr>
                <w:b/>
                <w:sz w:val="20"/>
                <w:szCs w:val="20"/>
              </w:rPr>
            </w:pPr>
            <w:r w:rsidRPr="000E1168">
              <w:rPr>
                <w:b/>
                <w:sz w:val="20"/>
                <w:szCs w:val="20"/>
              </w:rPr>
              <w:t>No</w:t>
            </w:r>
          </w:p>
        </w:tc>
        <w:tc>
          <w:tcPr>
            <w:tcW w:w="914" w:type="dxa"/>
            <w:tcBorders>
              <w:top w:val="single" w:sz="4" w:space="0" w:color="auto"/>
              <w:left w:val="nil"/>
              <w:bottom w:val="single" w:sz="4" w:space="0" w:color="auto"/>
            </w:tcBorders>
            <w:shd w:val="clear" w:color="auto" w:fill="auto"/>
          </w:tcPr>
          <w:p w:rsidR="00723562" w:rsidRPr="000E1168" w:rsidRDefault="00723562" w:rsidP="00CB45C6">
            <w:pPr>
              <w:spacing w:before="40" w:after="40"/>
              <w:jc w:val="center"/>
              <w:rPr>
                <w:b/>
                <w:sz w:val="20"/>
                <w:szCs w:val="20"/>
              </w:rPr>
            </w:pPr>
            <w:r w:rsidRPr="000E1168">
              <w:rPr>
                <w:b/>
                <w:sz w:val="20"/>
                <w:szCs w:val="20"/>
              </w:rPr>
              <w:t>%</w:t>
            </w:r>
          </w:p>
        </w:tc>
      </w:tr>
      <w:tr w:rsidR="00723562" w:rsidRPr="000E1168" w:rsidTr="00CB45C6">
        <w:trPr>
          <w:jc w:val="center"/>
        </w:trPr>
        <w:tc>
          <w:tcPr>
            <w:tcW w:w="2559" w:type="dxa"/>
            <w:tcBorders>
              <w:top w:val="single" w:sz="4" w:space="0" w:color="auto"/>
              <w:bottom w:val="nil"/>
              <w:right w:val="nil"/>
            </w:tcBorders>
            <w:shd w:val="clear" w:color="auto" w:fill="auto"/>
          </w:tcPr>
          <w:p w:rsidR="00723562" w:rsidRPr="000E1168" w:rsidRDefault="00723562" w:rsidP="00CB45C6">
            <w:pPr>
              <w:spacing w:before="40" w:after="40"/>
              <w:jc w:val="both"/>
              <w:rPr>
                <w:color w:val="000000"/>
                <w:sz w:val="20"/>
                <w:szCs w:val="20"/>
              </w:rPr>
            </w:pPr>
            <w:r w:rsidRPr="000E1168">
              <w:rPr>
                <w:color w:val="000000"/>
                <w:sz w:val="20"/>
                <w:szCs w:val="20"/>
              </w:rPr>
              <w:t>Matemáticas</w:t>
            </w:r>
          </w:p>
        </w:tc>
        <w:tc>
          <w:tcPr>
            <w:tcW w:w="850" w:type="dxa"/>
            <w:tcBorders>
              <w:top w:val="single" w:sz="4" w:space="0" w:color="auto"/>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4</w:t>
            </w:r>
          </w:p>
        </w:tc>
        <w:tc>
          <w:tcPr>
            <w:tcW w:w="851" w:type="dxa"/>
            <w:tcBorders>
              <w:top w:val="single" w:sz="4" w:space="0" w:color="auto"/>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4.1</w:t>
            </w:r>
          </w:p>
        </w:tc>
        <w:tc>
          <w:tcPr>
            <w:tcW w:w="850" w:type="dxa"/>
            <w:tcBorders>
              <w:top w:val="single" w:sz="4" w:space="0" w:color="auto"/>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5</w:t>
            </w:r>
          </w:p>
        </w:tc>
        <w:tc>
          <w:tcPr>
            <w:tcW w:w="851" w:type="dxa"/>
            <w:tcBorders>
              <w:top w:val="single" w:sz="4" w:space="0" w:color="auto"/>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5.1</w:t>
            </w:r>
          </w:p>
        </w:tc>
        <w:tc>
          <w:tcPr>
            <w:tcW w:w="843" w:type="dxa"/>
            <w:tcBorders>
              <w:top w:val="single" w:sz="4" w:space="0" w:color="auto"/>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5</w:t>
            </w:r>
          </w:p>
        </w:tc>
        <w:tc>
          <w:tcPr>
            <w:tcW w:w="844" w:type="dxa"/>
            <w:tcBorders>
              <w:top w:val="single" w:sz="4" w:space="0" w:color="auto"/>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5.1</w:t>
            </w:r>
          </w:p>
        </w:tc>
        <w:tc>
          <w:tcPr>
            <w:tcW w:w="857" w:type="dxa"/>
            <w:tcBorders>
              <w:top w:val="single" w:sz="4" w:space="0" w:color="auto"/>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14</w:t>
            </w:r>
          </w:p>
        </w:tc>
        <w:tc>
          <w:tcPr>
            <w:tcW w:w="914" w:type="dxa"/>
            <w:tcBorders>
              <w:top w:val="single" w:sz="4" w:space="0" w:color="auto"/>
              <w:left w:val="nil"/>
              <w:bottom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14.3</w:t>
            </w:r>
          </w:p>
        </w:tc>
      </w:tr>
      <w:tr w:rsidR="00723562" w:rsidRPr="000E1168" w:rsidTr="00CB45C6">
        <w:trPr>
          <w:jc w:val="center"/>
        </w:trPr>
        <w:tc>
          <w:tcPr>
            <w:tcW w:w="2559" w:type="dxa"/>
            <w:tcBorders>
              <w:top w:val="nil"/>
              <w:bottom w:val="nil"/>
              <w:right w:val="nil"/>
            </w:tcBorders>
            <w:shd w:val="clear" w:color="auto" w:fill="auto"/>
          </w:tcPr>
          <w:p w:rsidR="00723562" w:rsidRPr="000E1168" w:rsidRDefault="00723562" w:rsidP="00CB45C6">
            <w:pPr>
              <w:spacing w:before="40" w:after="40"/>
              <w:jc w:val="both"/>
              <w:rPr>
                <w:color w:val="000000"/>
                <w:sz w:val="20"/>
                <w:szCs w:val="20"/>
              </w:rPr>
            </w:pPr>
            <w:r w:rsidRPr="000E1168">
              <w:rPr>
                <w:color w:val="000000"/>
                <w:sz w:val="20"/>
                <w:szCs w:val="20"/>
              </w:rPr>
              <w:t>Lectura</w:t>
            </w:r>
          </w:p>
        </w:tc>
        <w:tc>
          <w:tcPr>
            <w:tcW w:w="850"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15</w:t>
            </w:r>
          </w:p>
        </w:tc>
        <w:tc>
          <w:tcPr>
            <w:tcW w:w="851" w:type="dxa"/>
            <w:tcBorders>
              <w:top w:val="nil"/>
              <w:left w:val="nil"/>
              <w:bottom w:val="nil"/>
              <w:right w:val="nil"/>
            </w:tcBorders>
            <w:shd w:val="clear" w:color="auto" w:fill="auto"/>
          </w:tcPr>
          <w:p w:rsidR="00723562" w:rsidRPr="000E1168" w:rsidRDefault="00723562" w:rsidP="00CB45C6">
            <w:pPr>
              <w:spacing w:before="40" w:after="40"/>
              <w:ind w:right="-108" w:hanging="104"/>
              <w:jc w:val="center"/>
              <w:rPr>
                <w:sz w:val="20"/>
                <w:szCs w:val="20"/>
              </w:rPr>
            </w:pPr>
            <w:r w:rsidRPr="000E1168">
              <w:rPr>
                <w:sz w:val="20"/>
                <w:szCs w:val="20"/>
              </w:rPr>
              <w:t>15.3</w:t>
            </w:r>
          </w:p>
        </w:tc>
        <w:tc>
          <w:tcPr>
            <w:tcW w:w="850"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8</w:t>
            </w:r>
          </w:p>
        </w:tc>
        <w:tc>
          <w:tcPr>
            <w:tcW w:w="851"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8.1</w:t>
            </w:r>
          </w:p>
        </w:tc>
        <w:tc>
          <w:tcPr>
            <w:tcW w:w="843"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14</w:t>
            </w:r>
          </w:p>
        </w:tc>
        <w:tc>
          <w:tcPr>
            <w:tcW w:w="844"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14.2</w:t>
            </w:r>
          </w:p>
        </w:tc>
        <w:tc>
          <w:tcPr>
            <w:tcW w:w="857"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37</w:t>
            </w:r>
          </w:p>
        </w:tc>
        <w:tc>
          <w:tcPr>
            <w:tcW w:w="914" w:type="dxa"/>
            <w:tcBorders>
              <w:top w:val="nil"/>
              <w:left w:val="nil"/>
              <w:bottom w:val="nil"/>
            </w:tcBorders>
            <w:shd w:val="clear" w:color="auto" w:fill="auto"/>
          </w:tcPr>
          <w:p w:rsidR="00723562" w:rsidRPr="000E1168" w:rsidRDefault="00723562" w:rsidP="00CB45C6">
            <w:pPr>
              <w:spacing w:before="40" w:after="40"/>
              <w:ind w:right="-108" w:hanging="104"/>
              <w:jc w:val="center"/>
              <w:rPr>
                <w:sz w:val="20"/>
                <w:szCs w:val="20"/>
              </w:rPr>
            </w:pPr>
            <w:r w:rsidRPr="000E1168">
              <w:rPr>
                <w:sz w:val="20"/>
                <w:szCs w:val="20"/>
              </w:rPr>
              <w:t>37.8</w:t>
            </w:r>
          </w:p>
        </w:tc>
      </w:tr>
      <w:tr w:rsidR="00723562" w:rsidRPr="000E1168" w:rsidTr="00CB45C6">
        <w:trPr>
          <w:jc w:val="center"/>
        </w:trPr>
        <w:tc>
          <w:tcPr>
            <w:tcW w:w="2559" w:type="dxa"/>
            <w:tcBorders>
              <w:top w:val="nil"/>
              <w:bottom w:val="nil"/>
              <w:right w:val="nil"/>
            </w:tcBorders>
            <w:shd w:val="clear" w:color="auto" w:fill="auto"/>
          </w:tcPr>
          <w:p w:rsidR="00723562" w:rsidRPr="000E1168" w:rsidRDefault="00723562" w:rsidP="00CB45C6">
            <w:pPr>
              <w:spacing w:before="40" w:after="40"/>
              <w:jc w:val="both"/>
              <w:rPr>
                <w:color w:val="000000"/>
                <w:sz w:val="20"/>
                <w:szCs w:val="20"/>
              </w:rPr>
            </w:pPr>
            <w:r w:rsidRPr="000E1168">
              <w:rPr>
                <w:color w:val="000000"/>
                <w:sz w:val="20"/>
                <w:szCs w:val="20"/>
              </w:rPr>
              <w:t>Escritura</w:t>
            </w:r>
          </w:p>
        </w:tc>
        <w:tc>
          <w:tcPr>
            <w:tcW w:w="850"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3</w:t>
            </w:r>
          </w:p>
        </w:tc>
        <w:tc>
          <w:tcPr>
            <w:tcW w:w="851" w:type="dxa"/>
            <w:tcBorders>
              <w:top w:val="nil"/>
              <w:left w:val="nil"/>
              <w:bottom w:val="nil"/>
              <w:right w:val="nil"/>
            </w:tcBorders>
            <w:shd w:val="clear" w:color="auto" w:fill="auto"/>
          </w:tcPr>
          <w:p w:rsidR="00723562" w:rsidRPr="000E1168" w:rsidRDefault="00723562" w:rsidP="00CB45C6">
            <w:pPr>
              <w:spacing w:before="40" w:after="40"/>
              <w:ind w:right="-108" w:hanging="104"/>
              <w:jc w:val="center"/>
              <w:rPr>
                <w:sz w:val="20"/>
                <w:szCs w:val="20"/>
              </w:rPr>
            </w:pPr>
            <w:r w:rsidRPr="000E1168">
              <w:rPr>
                <w:sz w:val="20"/>
                <w:szCs w:val="20"/>
              </w:rPr>
              <w:t>3.1</w:t>
            </w:r>
          </w:p>
        </w:tc>
        <w:tc>
          <w:tcPr>
            <w:tcW w:w="850"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3</w:t>
            </w:r>
          </w:p>
        </w:tc>
        <w:tc>
          <w:tcPr>
            <w:tcW w:w="851"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3.1</w:t>
            </w:r>
          </w:p>
        </w:tc>
        <w:tc>
          <w:tcPr>
            <w:tcW w:w="843"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13</w:t>
            </w:r>
          </w:p>
        </w:tc>
        <w:tc>
          <w:tcPr>
            <w:tcW w:w="844"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13.2</w:t>
            </w:r>
          </w:p>
        </w:tc>
        <w:tc>
          <w:tcPr>
            <w:tcW w:w="857"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19</w:t>
            </w:r>
          </w:p>
        </w:tc>
        <w:tc>
          <w:tcPr>
            <w:tcW w:w="914" w:type="dxa"/>
            <w:tcBorders>
              <w:top w:val="nil"/>
              <w:left w:val="nil"/>
              <w:bottom w:val="nil"/>
            </w:tcBorders>
            <w:shd w:val="clear" w:color="auto" w:fill="auto"/>
          </w:tcPr>
          <w:p w:rsidR="00723562" w:rsidRPr="000E1168" w:rsidRDefault="00723562" w:rsidP="00CB45C6">
            <w:pPr>
              <w:spacing w:before="40" w:after="40"/>
              <w:ind w:right="-108" w:hanging="104"/>
              <w:jc w:val="center"/>
              <w:rPr>
                <w:sz w:val="20"/>
                <w:szCs w:val="20"/>
              </w:rPr>
            </w:pPr>
            <w:r w:rsidRPr="000E1168">
              <w:rPr>
                <w:sz w:val="20"/>
                <w:szCs w:val="20"/>
              </w:rPr>
              <w:t>19.4</w:t>
            </w:r>
          </w:p>
        </w:tc>
      </w:tr>
      <w:tr w:rsidR="00723562" w:rsidRPr="000E1168" w:rsidTr="00CB45C6">
        <w:trPr>
          <w:jc w:val="center"/>
        </w:trPr>
        <w:tc>
          <w:tcPr>
            <w:tcW w:w="2559" w:type="dxa"/>
            <w:tcBorders>
              <w:top w:val="nil"/>
              <w:bottom w:val="single" w:sz="4" w:space="0" w:color="auto"/>
              <w:right w:val="nil"/>
            </w:tcBorders>
            <w:shd w:val="clear" w:color="auto" w:fill="auto"/>
          </w:tcPr>
          <w:p w:rsidR="00723562" w:rsidRPr="000E1168" w:rsidRDefault="00723562" w:rsidP="00CB45C6">
            <w:pPr>
              <w:spacing w:before="40" w:after="40"/>
              <w:jc w:val="both"/>
              <w:rPr>
                <w:color w:val="000000"/>
                <w:sz w:val="20"/>
                <w:szCs w:val="20"/>
              </w:rPr>
            </w:pPr>
            <w:r w:rsidRPr="000E1168">
              <w:rPr>
                <w:color w:val="000000"/>
                <w:sz w:val="20"/>
                <w:szCs w:val="20"/>
              </w:rPr>
              <w:t>Mixtas</w:t>
            </w:r>
          </w:p>
        </w:tc>
        <w:tc>
          <w:tcPr>
            <w:tcW w:w="850" w:type="dxa"/>
            <w:tcBorders>
              <w:top w:val="nil"/>
              <w:left w:val="nil"/>
              <w:bottom w:val="single" w:sz="4" w:space="0" w:color="auto"/>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16</w:t>
            </w:r>
          </w:p>
        </w:tc>
        <w:tc>
          <w:tcPr>
            <w:tcW w:w="851" w:type="dxa"/>
            <w:tcBorders>
              <w:top w:val="nil"/>
              <w:left w:val="nil"/>
              <w:bottom w:val="single" w:sz="4" w:space="0" w:color="auto"/>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16.3</w:t>
            </w:r>
          </w:p>
        </w:tc>
        <w:tc>
          <w:tcPr>
            <w:tcW w:w="850" w:type="dxa"/>
            <w:tcBorders>
              <w:top w:val="nil"/>
              <w:left w:val="nil"/>
              <w:bottom w:val="single" w:sz="4" w:space="0" w:color="auto"/>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6</w:t>
            </w:r>
          </w:p>
        </w:tc>
        <w:tc>
          <w:tcPr>
            <w:tcW w:w="851" w:type="dxa"/>
            <w:tcBorders>
              <w:top w:val="nil"/>
              <w:left w:val="nil"/>
              <w:bottom w:val="single" w:sz="4" w:space="0" w:color="auto"/>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6.1</w:t>
            </w:r>
          </w:p>
        </w:tc>
        <w:tc>
          <w:tcPr>
            <w:tcW w:w="843" w:type="dxa"/>
            <w:tcBorders>
              <w:top w:val="nil"/>
              <w:left w:val="nil"/>
              <w:bottom w:val="single" w:sz="4" w:space="0" w:color="auto"/>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6</w:t>
            </w:r>
          </w:p>
        </w:tc>
        <w:tc>
          <w:tcPr>
            <w:tcW w:w="844" w:type="dxa"/>
            <w:tcBorders>
              <w:top w:val="nil"/>
              <w:left w:val="nil"/>
              <w:bottom w:val="single" w:sz="4" w:space="0" w:color="auto"/>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6.1</w:t>
            </w:r>
          </w:p>
        </w:tc>
        <w:tc>
          <w:tcPr>
            <w:tcW w:w="857" w:type="dxa"/>
            <w:tcBorders>
              <w:top w:val="nil"/>
              <w:left w:val="nil"/>
              <w:bottom w:val="single" w:sz="4" w:space="0" w:color="auto"/>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28</w:t>
            </w:r>
          </w:p>
        </w:tc>
        <w:tc>
          <w:tcPr>
            <w:tcW w:w="914" w:type="dxa"/>
            <w:tcBorders>
              <w:top w:val="nil"/>
              <w:left w:val="nil"/>
              <w:bottom w:val="single" w:sz="4" w:space="0" w:color="auto"/>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28.6</w:t>
            </w:r>
          </w:p>
        </w:tc>
      </w:tr>
      <w:tr w:rsidR="00723562" w:rsidRPr="000E1168" w:rsidTr="00CB45C6">
        <w:trPr>
          <w:jc w:val="center"/>
        </w:trPr>
        <w:tc>
          <w:tcPr>
            <w:tcW w:w="2559" w:type="dxa"/>
            <w:tcBorders>
              <w:top w:val="single" w:sz="4" w:space="0" w:color="auto"/>
              <w:bottom w:val="single" w:sz="4" w:space="0" w:color="auto"/>
              <w:right w:val="nil"/>
            </w:tcBorders>
            <w:shd w:val="clear" w:color="auto" w:fill="auto"/>
          </w:tcPr>
          <w:p w:rsidR="00723562" w:rsidRPr="000E1168" w:rsidRDefault="00723562" w:rsidP="00CB45C6">
            <w:pPr>
              <w:spacing w:before="40" w:after="40"/>
              <w:jc w:val="both"/>
              <w:rPr>
                <w:color w:val="000000"/>
                <w:sz w:val="20"/>
                <w:szCs w:val="20"/>
              </w:rPr>
            </w:pPr>
            <w:r w:rsidRPr="000E1168">
              <w:rPr>
                <w:color w:val="000000"/>
                <w:sz w:val="20"/>
                <w:szCs w:val="20"/>
              </w:rPr>
              <w:t>Total</w:t>
            </w:r>
          </w:p>
        </w:tc>
        <w:tc>
          <w:tcPr>
            <w:tcW w:w="850" w:type="dxa"/>
            <w:tcBorders>
              <w:top w:val="single" w:sz="4" w:space="0" w:color="auto"/>
              <w:left w:val="nil"/>
              <w:bottom w:val="single" w:sz="4" w:space="0" w:color="auto"/>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38</w:t>
            </w:r>
          </w:p>
        </w:tc>
        <w:tc>
          <w:tcPr>
            <w:tcW w:w="851" w:type="dxa"/>
            <w:tcBorders>
              <w:top w:val="single" w:sz="4" w:space="0" w:color="auto"/>
              <w:left w:val="nil"/>
              <w:bottom w:val="single" w:sz="4" w:space="0" w:color="auto"/>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38.8</w:t>
            </w:r>
          </w:p>
        </w:tc>
        <w:tc>
          <w:tcPr>
            <w:tcW w:w="850" w:type="dxa"/>
            <w:tcBorders>
              <w:top w:val="single" w:sz="4" w:space="0" w:color="auto"/>
              <w:left w:val="nil"/>
              <w:bottom w:val="single" w:sz="4" w:space="0" w:color="auto"/>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22</w:t>
            </w:r>
          </w:p>
        </w:tc>
        <w:tc>
          <w:tcPr>
            <w:tcW w:w="851" w:type="dxa"/>
            <w:tcBorders>
              <w:top w:val="single" w:sz="4" w:space="0" w:color="auto"/>
              <w:left w:val="nil"/>
              <w:bottom w:val="single" w:sz="4" w:space="0" w:color="auto"/>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22.4</w:t>
            </w:r>
          </w:p>
        </w:tc>
        <w:tc>
          <w:tcPr>
            <w:tcW w:w="843" w:type="dxa"/>
            <w:tcBorders>
              <w:top w:val="single" w:sz="4" w:space="0" w:color="auto"/>
              <w:left w:val="nil"/>
              <w:bottom w:val="single" w:sz="4" w:space="0" w:color="auto"/>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38</w:t>
            </w:r>
          </w:p>
        </w:tc>
        <w:tc>
          <w:tcPr>
            <w:tcW w:w="844" w:type="dxa"/>
            <w:tcBorders>
              <w:top w:val="single" w:sz="4" w:space="0" w:color="auto"/>
              <w:left w:val="nil"/>
              <w:bottom w:val="single" w:sz="4" w:space="0" w:color="auto"/>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38.8</w:t>
            </w:r>
          </w:p>
        </w:tc>
        <w:tc>
          <w:tcPr>
            <w:tcW w:w="857" w:type="dxa"/>
            <w:tcBorders>
              <w:top w:val="single" w:sz="4" w:space="0" w:color="auto"/>
              <w:left w:val="nil"/>
              <w:bottom w:val="single" w:sz="4" w:space="0" w:color="auto"/>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98</w:t>
            </w:r>
          </w:p>
        </w:tc>
        <w:tc>
          <w:tcPr>
            <w:tcW w:w="914" w:type="dxa"/>
            <w:tcBorders>
              <w:top w:val="single" w:sz="4" w:space="0" w:color="auto"/>
              <w:left w:val="nil"/>
              <w:bottom w:val="single" w:sz="4" w:space="0" w:color="auto"/>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100.0</w:t>
            </w:r>
          </w:p>
        </w:tc>
      </w:tr>
      <w:tr w:rsidR="00723562" w:rsidRPr="000E1168" w:rsidTr="00CB45C6">
        <w:trPr>
          <w:jc w:val="center"/>
        </w:trPr>
        <w:tc>
          <w:tcPr>
            <w:tcW w:w="9419" w:type="dxa"/>
            <w:gridSpan w:val="9"/>
            <w:tcBorders>
              <w:top w:val="single" w:sz="4" w:space="0" w:color="auto"/>
            </w:tcBorders>
            <w:shd w:val="clear" w:color="auto" w:fill="auto"/>
          </w:tcPr>
          <w:p w:rsidR="00723562" w:rsidRPr="000E1168" w:rsidRDefault="00723562" w:rsidP="00CB45C6">
            <w:pPr>
              <w:spacing w:before="60" w:after="60"/>
              <w:ind w:right="-108" w:hanging="108"/>
              <w:jc w:val="center"/>
              <w:rPr>
                <w:sz w:val="20"/>
                <w:szCs w:val="20"/>
              </w:rPr>
            </w:pPr>
          </w:p>
        </w:tc>
      </w:tr>
    </w:tbl>
    <w:p w:rsidR="0078078C" w:rsidRPr="00723562" w:rsidRDefault="00723562" w:rsidP="00501CA4">
      <w:pPr>
        <w:spacing w:line="480" w:lineRule="auto"/>
        <w:jc w:val="both"/>
      </w:pPr>
      <w:r w:rsidRPr="00723562">
        <w:t xml:space="preserve"> </w:t>
      </w:r>
      <w:r w:rsidR="0078078C" w:rsidRPr="00723562">
        <w:t xml:space="preserve">La edad promedio registrada </w:t>
      </w:r>
      <w:r w:rsidR="00F72798" w:rsidRPr="00723562">
        <w:t xml:space="preserve">en población total de participantes </w:t>
      </w:r>
      <w:r w:rsidR="0078078C" w:rsidRPr="00723562">
        <w:t xml:space="preserve">fue de 9.18 años, con una desviación estándar de 1.425, en un rango de edad de 7 a 13 años. En la </w:t>
      </w:r>
      <w:r w:rsidR="0078078C" w:rsidRPr="00723562">
        <w:rPr>
          <w:i/>
        </w:rPr>
        <w:t xml:space="preserve">Tabla </w:t>
      </w:r>
      <w:r w:rsidR="00150BF7" w:rsidRPr="00723562">
        <w:rPr>
          <w:i/>
        </w:rPr>
        <w:t>3</w:t>
      </w:r>
      <w:r w:rsidR="004F6DEF">
        <w:t xml:space="preserve"> se muestra</w:t>
      </w:r>
      <w:r w:rsidR="0078078C" w:rsidRPr="00723562">
        <w:t xml:space="preserve"> </w:t>
      </w:r>
      <w:r w:rsidR="00C81271" w:rsidRPr="00723562">
        <w:t xml:space="preserve">la </w:t>
      </w:r>
      <w:r w:rsidR="0078078C" w:rsidRPr="00723562">
        <w:t>distribución de edad promedio, rango de edad y su desviación estándar por Unidades Educativas.</w:t>
      </w:r>
    </w:p>
    <w:tbl>
      <w:tblPr>
        <w:tblW w:w="9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3"/>
        <w:gridCol w:w="2410"/>
        <w:gridCol w:w="2268"/>
        <w:gridCol w:w="2331"/>
      </w:tblGrid>
      <w:tr w:rsidR="00723562" w:rsidRPr="000E1168" w:rsidTr="00CB45C6">
        <w:trPr>
          <w:jc w:val="center"/>
        </w:trPr>
        <w:tc>
          <w:tcPr>
            <w:tcW w:w="9432" w:type="dxa"/>
            <w:gridSpan w:val="4"/>
            <w:tcBorders>
              <w:top w:val="nil"/>
              <w:left w:val="nil"/>
              <w:bottom w:val="single" w:sz="4" w:space="0" w:color="auto"/>
              <w:right w:val="nil"/>
            </w:tcBorders>
            <w:shd w:val="clear" w:color="auto" w:fill="auto"/>
          </w:tcPr>
          <w:p w:rsidR="00723562" w:rsidRPr="000E1168" w:rsidRDefault="00723562" w:rsidP="00CB45C6">
            <w:pPr>
              <w:spacing w:before="240" w:after="120"/>
              <w:jc w:val="both"/>
              <w:rPr>
                <w:sz w:val="22"/>
                <w:szCs w:val="22"/>
              </w:rPr>
            </w:pPr>
            <w:r w:rsidRPr="000E1168">
              <w:rPr>
                <w:b/>
                <w:sz w:val="22"/>
                <w:szCs w:val="22"/>
              </w:rPr>
              <w:t>Tabla 3.</w:t>
            </w:r>
            <w:r w:rsidRPr="000E1168">
              <w:rPr>
                <w:sz w:val="22"/>
                <w:szCs w:val="22"/>
              </w:rPr>
              <w:t xml:space="preserve"> Distribución de edad promedio, rango de edad y su desviación estándar de los niños con trastornos específicos del aprendizaje por Unidades Educativas.</w:t>
            </w:r>
          </w:p>
        </w:tc>
      </w:tr>
      <w:tr w:rsidR="00723562" w:rsidRPr="000E1168" w:rsidTr="00CB45C6">
        <w:trPr>
          <w:jc w:val="center"/>
        </w:trPr>
        <w:tc>
          <w:tcPr>
            <w:tcW w:w="2423" w:type="dxa"/>
            <w:tcBorders>
              <w:left w:val="nil"/>
              <w:bottom w:val="single" w:sz="4" w:space="0" w:color="auto"/>
              <w:right w:val="nil"/>
            </w:tcBorders>
            <w:shd w:val="clear" w:color="auto" w:fill="auto"/>
          </w:tcPr>
          <w:p w:rsidR="00723562" w:rsidRPr="000E1168" w:rsidRDefault="00723562" w:rsidP="00CB45C6">
            <w:pPr>
              <w:spacing w:before="40" w:after="40"/>
              <w:jc w:val="center"/>
              <w:rPr>
                <w:b/>
                <w:sz w:val="20"/>
                <w:szCs w:val="20"/>
              </w:rPr>
            </w:pPr>
            <w:r w:rsidRPr="000E1168">
              <w:rPr>
                <w:b/>
                <w:sz w:val="20"/>
                <w:szCs w:val="20"/>
              </w:rPr>
              <w:t>Unidad Educativa</w:t>
            </w:r>
          </w:p>
        </w:tc>
        <w:tc>
          <w:tcPr>
            <w:tcW w:w="2410" w:type="dxa"/>
            <w:tcBorders>
              <w:left w:val="nil"/>
              <w:bottom w:val="single" w:sz="4" w:space="0" w:color="auto"/>
              <w:right w:val="nil"/>
            </w:tcBorders>
            <w:shd w:val="clear" w:color="auto" w:fill="auto"/>
          </w:tcPr>
          <w:p w:rsidR="00723562" w:rsidRPr="000E1168" w:rsidRDefault="00723562" w:rsidP="00CB45C6">
            <w:pPr>
              <w:spacing w:before="40" w:after="40"/>
              <w:jc w:val="center"/>
              <w:rPr>
                <w:b/>
                <w:sz w:val="20"/>
                <w:szCs w:val="20"/>
              </w:rPr>
            </w:pPr>
            <w:r w:rsidRPr="000E1168">
              <w:rPr>
                <w:b/>
                <w:sz w:val="20"/>
                <w:szCs w:val="20"/>
              </w:rPr>
              <w:t>Edad promedio</w:t>
            </w:r>
          </w:p>
        </w:tc>
        <w:tc>
          <w:tcPr>
            <w:tcW w:w="2268" w:type="dxa"/>
            <w:tcBorders>
              <w:left w:val="nil"/>
              <w:bottom w:val="single" w:sz="4" w:space="0" w:color="auto"/>
              <w:right w:val="nil"/>
            </w:tcBorders>
            <w:shd w:val="clear" w:color="auto" w:fill="auto"/>
          </w:tcPr>
          <w:p w:rsidR="00723562" w:rsidRPr="000E1168" w:rsidRDefault="00723562" w:rsidP="00CB45C6">
            <w:pPr>
              <w:spacing w:before="40" w:after="40"/>
              <w:jc w:val="center"/>
              <w:rPr>
                <w:b/>
                <w:sz w:val="20"/>
                <w:szCs w:val="20"/>
              </w:rPr>
            </w:pPr>
            <w:r w:rsidRPr="000E1168">
              <w:rPr>
                <w:b/>
                <w:sz w:val="20"/>
                <w:szCs w:val="20"/>
              </w:rPr>
              <w:t>Rango de edad</w:t>
            </w:r>
          </w:p>
        </w:tc>
        <w:tc>
          <w:tcPr>
            <w:tcW w:w="2331" w:type="dxa"/>
            <w:tcBorders>
              <w:left w:val="nil"/>
              <w:bottom w:val="single" w:sz="4" w:space="0" w:color="auto"/>
              <w:right w:val="nil"/>
            </w:tcBorders>
            <w:shd w:val="clear" w:color="auto" w:fill="auto"/>
          </w:tcPr>
          <w:p w:rsidR="00723562" w:rsidRPr="000E1168" w:rsidRDefault="00723562" w:rsidP="00CB45C6">
            <w:pPr>
              <w:spacing w:before="40" w:after="40"/>
              <w:jc w:val="center"/>
              <w:rPr>
                <w:b/>
                <w:sz w:val="20"/>
                <w:szCs w:val="20"/>
              </w:rPr>
            </w:pPr>
            <w:r w:rsidRPr="000E1168">
              <w:rPr>
                <w:b/>
                <w:sz w:val="20"/>
                <w:szCs w:val="20"/>
              </w:rPr>
              <w:t>Desviación estándar</w:t>
            </w:r>
          </w:p>
        </w:tc>
      </w:tr>
      <w:tr w:rsidR="00723562" w:rsidRPr="000E1168" w:rsidTr="00CB45C6">
        <w:trPr>
          <w:jc w:val="center"/>
        </w:trPr>
        <w:tc>
          <w:tcPr>
            <w:tcW w:w="2423" w:type="dxa"/>
            <w:tcBorders>
              <w:left w:val="nil"/>
              <w:bottom w:val="nil"/>
              <w:right w:val="nil"/>
            </w:tcBorders>
            <w:shd w:val="clear" w:color="auto" w:fill="auto"/>
          </w:tcPr>
          <w:p w:rsidR="00723562" w:rsidRPr="000E1168" w:rsidRDefault="00723562" w:rsidP="00CB45C6">
            <w:pPr>
              <w:spacing w:before="40" w:after="40"/>
              <w:jc w:val="both"/>
              <w:rPr>
                <w:sz w:val="20"/>
                <w:szCs w:val="20"/>
              </w:rPr>
            </w:pPr>
            <w:r w:rsidRPr="000E1168">
              <w:rPr>
                <w:sz w:val="20"/>
                <w:szCs w:val="20"/>
              </w:rPr>
              <w:t>4 de Noviembre</w:t>
            </w:r>
          </w:p>
        </w:tc>
        <w:tc>
          <w:tcPr>
            <w:tcW w:w="2410" w:type="dxa"/>
            <w:tcBorders>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9.61</w:t>
            </w:r>
          </w:p>
        </w:tc>
        <w:tc>
          <w:tcPr>
            <w:tcW w:w="2268" w:type="dxa"/>
            <w:tcBorders>
              <w:left w:val="nil"/>
              <w:bottom w:val="nil"/>
              <w:right w:val="nil"/>
            </w:tcBorders>
            <w:shd w:val="clear" w:color="auto" w:fill="auto"/>
          </w:tcPr>
          <w:p w:rsidR="00723562" w:rsidRPr="000E1168" w:rsidRDefault="00723562" w:rsidP="00CB45C6">
            <w:pPr>
              <w:spacing w:before="40" w:after="40"/>
              <w:ind w:right="-108" w:hanging="108"/>
              <w:jc w:val="center"/>
              <w:rPr>
                <w:color w:val="000000"/>
                <w:sz w:val="20"/>
                <w:szCs w:val="20"/>
              </w:rPr>
            </w:pPr>
            <w:r w:rsidRPr="000E1168">
              <w:rPr>
                <w:color w:val="000000"/>
                <w:sz w:val="20"/>
                <w:szCs w:val="20"/>
              </w:rPr>
              <w:t>7-13</w:t>
            </w:r>
          </w:p>
        </w:tc>
        <w:tc>
          <w:tcPr>
            <w:tcW w:w="2331" w:type="dxa"/>
            <w:tcBorders>
              <w:left w:val="nil"/>
              <w:bottom w:val="nil"/>
              <w:right w:val="nil"/>
            </w:tcBorders>
            <w:shd w:val="clear" w:color="auto" w:fill="auto"/>
          </w:tcPr>
          <w:p w:rsidR="00723562" w:rsidRPr="000E1168" w:rsidRDefault="00723562" w:rsidP="00CB45C6">
            <w:pPr>
              <w:spacing w:before="40" w:after="40"/>
              <w:ind w:right="-108" w:hanging="108"/>
              <w:jc w:val="center"/>
              <w:rPr>
                <w:color w:val="000000"/>
                <w:sz w:val="20"/>
                <w:szCs w:val="20"/>
              </w:rPr>
            </w:pPr>
            <w:r w:rsidRPr="000E1168">
              <w:rPr>
                <w:color w:val="000000"/>
                <w:sz w:val="20"/>
                <w:szCs w:val="20"/>
              </w:rPr>
              <w:t>1.586</w:t>
            </w:r>
          </w:p>
        </w:tc>
      </w:tr>
      <w:tr w:rsidR="00723562" w:rsidRPr="000E1168" w:rsidTr="00CB45C6">
        <w:trPr>
          <w:jc w:val="center"/>
        </w:trPr>
        <w:tc>
          <w:tcPr>
            <w:tcW w:w="2423" w:type="dxa"/>
            <w:tcBorders>
              <w:top w:val="nil"/>
              <w:left w:val="nil"/>
              <w:bottom w:val="nil"/>
              <w:right w:val="nil"/>
            </w:tcBorders>
            <w:shd w:val="clear" w:color="auto" w:fill="auto"/>
          </w:tcPr>
          <w:p w:rsidR="00723562" w:rsidRPr="000E1168" w:rsidRDefault="00723562" w:rsidP="00CB45C6">
            <w:pPr>
              <w:spacing w:before="40" w:after="40"/>
              <w:jc w:val="both"/>
              <w:rPr>
                <w:sz w:val="20"/>
                <w:szCs w:val="20"/>
              </w:rPr>
            </w:pPr>
            <w:r w:rsidRPr="000E1168">
              <w:rPr>
                <w:sz w:val="20"/>
                <w:szCs w:val="20"/>
              </w:rPr>
              <w:t>José Peralta</w:t>
            </w:r>
          </w:p>
        </w:tc>
        <w:tc>
          <w:tcPr>
            <w:tcW w:w="2410"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9.64</w:t>
            </w:r>
          </w:p>
        </w:tc>
        <w:tc>
          <w:tcPr>
            <w:tcW w:w="2268"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color w:val="000000"/>
                <w:sz w:val="20"/>
                <w:szCs w:val="20"/>
              </w:rPr>
            </w:pPr>
            <w:r w:rsidRPr="000E1168">
              <w:rPr>
                <w:color w:val="000000"/>
                <w:sz w:val="20"/>
                <w:szCs w:val="20"/>
              </w:rPr>
              <w:t>7-12</w:t>
            </w:r>
          </w:p>
        </w:tc>
        <w:tc>
          <w:tcPr>
            <w:tcW w:w="2331"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color w:val="000000"/>
                <w:sz w:val="20"/>
                <w:szCs w:val="20"/>
              </w:rPr>
            </w:pPr>
            <w:r w:rsidRPr="000E1168">
              <w:rPr>
                <w:color w:val="000000"/>
                <w:sz w:val="20"/>
                <w:szCs w:val="20"/>
              </w:rPr>
              <w:t>1.465</w:t>
            </w:r>
          </w:p>
        </w:tc>
      </w:tr>
      <w:tr w:rsidR="00723562" w:rsidRPr="000E1168" w:rsidTr="00CB45C6">
        <w:trPr>
          <w:jc w:val="center"/>
        </w:trPr>
        <w:tc>
          <w:tcPr>
            <w:tcW w:w="2423" w:type="dxa"/>
            <w:tcBorders>
              <w:top w:val="nil"/>
              <w:left w:val="nil"/>
              <w:bottom w:val="single" w:sz="4" w:space="0" w:color="auto"/>
              <w:right w:val="nil"/>
            </w:tcBorders>
            <w:shd w:val="clear" w:color="auto" w:fill="auto"/>
          </w:tcPr>
          <w:p w:rsidR="00723562" w:rsidRPr="000E1168" w:rsidRDefault="00723562" w:rsidP="00CB45C6">
            <w:pPr>
              <w:spacing w:before="40" w:after="40"/>
              <w:jc w:val="both"/>
              <w:rPr>
                <w:sz w:val="20"/>
                <w:szCs w:val="20"/>
              </w:rPr>
            </w:pPr>
            <w:r w:rsidRPr="000E1168">
              <w:rPr>
                <w:sz w:val="20"/>
                <w:szCs w:val="20"/>
              </w:rPr>
              <w:t>Israel</w:t>
            </w:r>
          </w:p>
        </w:tc>
        <w:tc>
          <w:tcPr>
            <w:tcW w:w="2410" w:type="dxa"/>
            <w:tcBorders>
              <w:top w:val="nil"/>
              <w:left w:val="nil"/>
              <w:bottom w:val="single" w:sz="4" w:space="0" w:color="auto"/>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10.03</w:t>
            </w:r>
          </w:p>
        </w:tc>
        <w:tc>
          <w:tcPr>
            <w:tcW w:w="2268" w:type="dxa"/>
            <w:tcBorders>
              <w:top w:val="nil"/>
              <w:left w:val="nil"/>
              <w:bottom w:val="single" w:sz="4" w:space="0" w:color="auto"/>
              <w:right w:val="nil"/>
            </w:tcBorders>
            <w:shd w:val="clear" w:color="auto" w:fill="auto"/>
          </w:tcPr>
          <w:p w:rsidR="00723562" w:rsidRPr="000E1168" w:rsidRDefault="00723562" w:rsidP="00CB45C6">
            <w:pPr>
              <w:spacing w:before="40" w:after="40"/>
              <w:ind w:right="-108" w:hanging="108"/>
              <w:jc w:val="center"/>
              <w:rPr>
                <w:color w:val="000000"/>
                <w:sz w:val="20"/>
                <w:szCs w:val="20"/>
              </w:rPr>
            </w:pPr>
            <w:r w:rsidRPr="000E1168">
              <w:rPr>
                <w:color w:val="000000"/>
                <w:sz w:val="20"/>
                <w:szCs w:val="20"/>
              </w:rPr>
              <w:t>7-12</w:t>
            </w:r>
          </w:p>
        </w:tc>
        <w:tc>
          <w:tcPr>
            <w:tcW w:w="2331" w:type="dxa"/>
            <w:tcBorders>
              <w:top w:val="nil"/>
              <w:left w:val="nil"/>
              <w:bottom w:val="single" w:sz="4" w:space="0" w:color="auto"/>
              <w:right w:val="nil"/>
            </w:tcBorders>
            <w:shd w:val="clear" w:color="auto" w:fill="auto"/>
          </w:tcPr>
          <w:p w:rsidR="00723562" w:rsidRPr="000E1168" w:rsidRDefault="00723562" w:rsidP="00CB45C6">
            <w:pPr>
              <w:spacing w:before="40" w:after="40"/>
              <w:ind w:right="-108" w:hanging="108"/>
              <w:jc w:val="center"/>
              <w:rPr>
                <w:color w:val="000000"/>
                <w:sz w:val="20"/>
                <w:szCs w:val="20"/>
              </w:rPr>
            </w:pPr>
            <w:r w:rsidRPr="000E1168">
              <w:rPr>
                <w:color w:val="000000"/>
                <w:sz w:val="20"/>
                <w:szCs w:val="20"/>
              </w:rPr>
              <w:t>1.219</w:t>
            </w:r>
          </w:p>
        </w:tc>
      </w:tr>
      <w:tr w:rsidR="00723562" w:rsidRPr="000E1168" w:rsidTr="00CB45C6">
        <w:trPr>
          <w:jc w:val="center"/>
        </w:trPr>
        <w:tc>
          <w:tcPr>
            <w:tcW w:w="2423" w:type="dxa"/>
            <w:tcBorders>
              <w:top w:val="single" w:sz="4" w:space="0" w:color="auto"/>
              <w:left w:val="nil"/>
              <w:right w:val="nil"/>
            </w:tcBorders>
            <w:shd w:val="clear" w:color="auto" w:fill="auto"/>
          </w:tcPr>
          <w:p w:rsidR="00723562" w:rsidRPr="000E1168" w:rsidRDefault="00723562" w:rsidP="00CB45C6">
            <w:pPr>
              <w:spacing w:before="40" w:after="40"/>
              <w:jc w:val="both"/>
              <w:rPr>
                <w:sz w:val="20"/>
                <w:szCs w:val="20"/>
              </w:rPr>
            </w:pPr>
            <w:r w:rsidRPr="000E1168">
              <w:rPr>
                <w:sz w:val="20"/>
                <w:szCs w:val="20"/>
              </w:rPr>
              <w:t xml:space="preserve">Población total </w:t>
            </w:r>
          </w:p>
        </w:tc>
        <w:tc>
          <w:tcPr>
            <w:tcW w:w="2410" w:type="dxa"/>
            <w:tcBorders>
              <w:top w:val="single" w:sz="4" w:space="0" w:color="auto"/>
              <w:left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9.18</w:t>
            </w:r>
          </w:p>
        </w:tc>
        <w:tc>
          <w:tcPr>
            <w:tcW w:w="2268" w:type="dxa"/>
            <w:tcBorders>
              <w:top w:val="single" w:sz="4" w:space="0" w:color="auto"/>
              <w:left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7-13</w:t>
            </w:r>
          </w:p>
        </w:tc>
        <w:tc>
          <w:tcPr>
            <w:tcW w:w="2331" w:type="dxa"/>
            <w:tcBorders>
              <w:top w:val="single" w:sz="4" w:space="0" w:color="auto"/>
              <w:left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1.425</w:t>
            </w:r>
          </w:p>
        </w:tc>
      </w:tr>
      <w:tr w:rsidR="00723562" w:rsidRPr="000E1168" w:rsidTr="00CB45C6">
        <w:trPr>
          <w:jc w:val="center"/>
        </w:trPr>
        <w:tc>
          <w:tcPr>
            <w:tcW w:w="9432" w:type="dxa"/>
            <w:gridSpan w:val="4"/>
            <w:tcBorders>
              <w:left w:val="nil"/>
              <w:bottom w:val="nil"/>
              <w:right w:val="nil"/>
            </w:tcBorders>
            <w:shd w:val="clear" w:color="auto" w:fill="auto"/>
          </w:tcPr>
          <w:p w:rsidR="00723562" w:rsidRPr="000E1168" w:rsidRDefault="00723562" w:rsidP="00CB45C6">
            <w:pPr>
              <w:spacing w:after="120"/>
              <w:jc w:val="both"/>
              <w:rPr>
                <w:color w:val="C00000"/>
                <w:sz w:val="20"/>
                <w:szCs w:val="20"/>
              </w:rPr>
            </w:pPr>
          </w:p>
        </w:tc>
      </w:tr>
    </w:tbl>
    <w:p w:rsidR="0078078C" w:rsidRPr="00723562" w:rsidRDefault="00723562" w:rsidP="0000602F">
      <w:pPr>
        <w:spacing w:line="360" w:lineRule="auto"/>
        <w:jc w:val="both"/>
      </w:pPr>
      <w:r w:rsidRPr="00723562">
        <w:t xml:space="preserve"> </w:t>
      </w:r>
      <w:r w:rsidR="0078078C" w:rsidRPr="00723562">
        <w:t>En el 67.3% de los participantes se registró sexo masculino y el 32.7%, sexo femenino. El 25.5% de los niños participantes registró 4to grado de básica, el 16.3% 5to grado, el 22.4% 6to grado, y el 35.7% 7mo grado.</w:t>
      </w:r>
    </w:p>
    <w:p w:rsidR="00CD3F55" w:rsidRPr="00723562" w:rsidRDefault="00FF0EAC" w:rsidP="0000602F">
      <w:pPr>
        <w:spacing w:line="360" w:lineRule="auto"/>
        <w:jc w:val="both"/>
      </w:pPr>
      <w:r w:rsidRPr="00723562">
        <w:t xml:space="preserve">El 95.9% de los niños con trastornos específicos del aprendizaje registrados, reside en el Cantón Manta, de la Provincia Manabí, mientras el 4.1% reside en el Cantón Montecristi de esta provincia. De los residentes en el Cantón Manta, el 98.9% habita la ciudad del mismo nombre, mientras el 1.1% es de la zona rural del cantón, específicamente en la parroquia Santa Marianita. De los habitantes del área urbana, el </w:t>
      </w:r>
      <w:r w:rsidR="009106BC" w:rsidRPr="00723562">
        <w:t xml:space="preserve">65.3% </w:t>
      </w:r>
      <w:r w:rsidR="009A03F7" w:rsidRPr="00723562">
        <w:t xml:space="preserve">reside en la </w:t>
      </w:r>
      <w:r w:rsidRPr="00723562">
        <w:t>p</w:t>
      </w:r>
      <w:r w:rsidR="009A03F7" w:rsidRPr="00723562">
        <w:t xml:space="preserve">arroquia Manta, el </w:t>
      </w:r>
      <w:r w:rsidRPr="00723562">
        <w:t>12.2</w:t>
      </w:r>
      <w:r w:rsidR="009A03F7" w:rsidRPr="00723562">
        <w:t xml:space="preserve">% en la </w:t>
      </w:r>
      <w:r w:rsidRPr="00723562">
        <w:lastRenderedPageBreak/>
        <w:t>p</w:t>
      </w:r>
      <w:r w:rsidR="009A03F7" w:rsidRPr="00723562">
        <w:t xml:space="preserve">arroquia Los Esteros, </w:t>
      </w:r>
      <w:r w:rsidRPr="00723562">
        <w:t xml:space="preserve">el 1.1% en la parroquia San Mateo, </w:t>
      </w:r>
      <w:r w:rsidR="009A03F7" w:rsidRPr="00723562">
        <w:t xml:space="preserve">el </w:t>
      </w:r>
      <w:r w:rsidRPr="00723562">
        <w:t>5.1</w:t>
      </w:r>
      <w:r w:rsidR="009A03F7" w:rsidRPr="00723562">
        <w:t xml:space="preserve">% en la </w:t>
      </w:r>
      <w:r w:rsidRPr="00723562">
        <w:t>p</w:t>
      </w:r>
      <w:r w:rsidR="009A03F7" w:rsidRPr="00723562">
        <w:t xml:space="preserve">arroquia Eloy Alfaro, </w:t>
      </w:r>
      <w:r w:rsidR="009106BC" w:rsidRPr="00723562">
        <w:t xml:space="preserve">y </w:t>
      </w:r>
      <w:r w:rsidR="009A03F7" w:rsidRPr="00723562">
        <w:t>el 1</w:t>
      </w:r>
      <w:r w:rsidRPr="00723562">
        <w:t>1</w:t>
      </w:r>
      <w:r w:rsidR="009A03F7" w:rsidRPr="00723562">
        <w:t xml:space="preserve">.2% en la </w:t>
      </w:r>
      <w:r w:rsidRPr="00723562">
        <w:t>p</w:t>
      </w:r>
      <w:r w:rsidR="009A03F7" w:rsidRPr="00723562">
        <w:t>arroquia Tarqui</w:t>
      </w:r>
      <w:r w:rsidR="009106BC" w:rsidRPr="00723562">
        <w:t>. No se registran participante</w:t>
      </w:r>
      <w:r w:rsidRPr="00723562">
        <w:t>s que residan en la parroquia</w:t>
      </w:r>
      <w:r w:rsidR="009106BC" w:rsidRPr="00723562">
        <w:t xml:space="preserve"> </w:t>
      </w:r>
      <w:r w:rsidRPr="00723562">
        <w:t xml:space="preserve">rural </w:t>
      </w:r>
      <w:r w:rsidR="009106BC" w:rsidRPr="00723562">
        <w:t>San Lorenzo.</w:t>
      </w:r>
    </w:p>
    <w:p w:rsidR="001207BB" w:rsidRPr="00723562" w:rsidRDefault="008C3A48" w:rsidP="0000602F">
      <w:pPr>
        <w:spacing w:line="360" w:lineRule="auto"/>
        <w:jc w:val="both"/>
      </w:pPr>
      <w:r w:rsidRPr="00723562">
        <w:t>El origen étnico registrado por el 15.3% de los niños fue blanco, el 2.1% registró etnia afroecuatoriana, en tanto el 81.7% registró mestizaje.</w:t>
      </w:r>
    </w:p>
    <w:p w:rsidR="00C01E49" w:rsidRPr="00723562" w:rsidRDefault="0078078C" w:rsidP="0000602F">
      <w:pPr>
        <w:spacing w:line="360" w:lineRule="auto"/>
        <w:jc w:val="both"/>
      </w:pPr>
      <w:r w:rsidRPr="00723562">
        <w:t xml:space="preserve">En la </w:t>
      </w:r>
      <w:r w:rsidRPr="00723562">
        <w:rPr>
          <w:i/>
        </w:rPr>
        <w:t xml:space="preserve">Tabla </w:t>
      </w:r>
      <w:r w:rsidR="002D33A2" w:rsidRPr="00723562">
        <w:rPr>
          <w:i/>
        </w:rPr>
        <w:t>4</w:t>
      </w:r>
      <w:r w:rsidRPr="00723562">
        <w:t xml:space="preserve"> se muestra la</w:t>
      </w:r>
      <w:r w:rsidRPr="00723562">
        <w:rPr>
          <w:b/>
        </w:rPr>
        <w:t xml:space="preserve"> </w:t>
      </w:r>
      <w:r w:rsidRPr="00723562">
        <w:t>distribución de niños con trastornos específicos del aprendizaje por Unidades Educativas, según sexo, escolaridad, zona de residencia, y origen étnico.</w:t>
      </w:r>
    </w:p>
    <w:tbl>
      <w:tblPr>
        <w:tblW w:w="9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1701"/>
        <w:gridCol w:w="698"/>
        <w:gridCol w:w="699"/>
        <w:gridCol w:w="699"/>
        <w:gridCol w:w="699"/>
        <w:gridCol w:w="699"/>
        <w:gridCol w:w="699"/>
        <w:gridCol w:w="699"/>
        <w:gridCol w:w="699"/>
      </w:tblGrid>
      <w:tr w:rsidR="00723562" w:rsidRPr="000E1168" w:rsidTr="00CB45C6">
        <w:trPr>
          <w:jc w:val="center"/>
        </w:trPr>
        <w:tc>
          <w:tcPr>
            <w:tcW w:w="9432" w:type="dxa"/>
            <w:gridSpan w:val="10"/>
            <w:tcBorders>
              <w:top w:val="nil"/>
              <w:left w:val="nil"/>
              <w:right w:val="nil"/>
            </w:tcBorders>
            <w:shd w:val="clear" w:color="auto" w:fill="auto"/>
          </w:tcPr>
          <w:p w:rsidR="00723562" w:rsidRPr="000E1168" w:rsidRDefault="00723562" w:rsidP="00CB45C6">
            <w:pPr>
              <w:spacing w:before="240" w:after="120"/>
              <w:jc w:val="both"/>
              <w:rPr>
                <w:sz w:val="22"/>
                <w:szCs w:val="22"/>
              </w:rPr>
            </w:pPr>
            <w:r w:rsidRPr="000E1168">
              <w:rPr>
                <w:b/>
                <w:sz w:val="22"/>
                <w:szCs w:val="22"/>
              </w:rPr>
              <w:t>Tabla 4.</w:t>
            </w:r>
            <w:r w:rsidRPr="000E1168">
              <w:rPr>
                <w:sz w:val="22"/>
                <w:szCs w:val="22"/>
              </w:rPr>
              <w:t xml:space="preserve"> Distribución de niños con trastornos específicos del aprendizaje por Unidades Educativas, según sexo, escolaridad, zona de residencia, etnia, y estructura familiar.</w:t>
            </w:r>
          </w:p>
        </w:tc>
      </w:tr>
      <w:tr w:rsidR="00723562" w:rsidRPr="000E1168" w:rsidTr="00CB45C6">
        <w:trPr>
          <w:jc w:val="center"/>
        </w:trPr>
        <w:tc>
          <w:tcPr>
            <w:tcW w:w="2140" w:type="dxa"/>
            <w:vMerge w:val="restart"/>
            <w:tcBorders>
              <w:left w:val="nil"/>
              <w:right w:val="nil"/>
            </w:tcBorders>
            <w:shd w:val="clear" w:color="auto" w:fill="auto"/>
          </w:tcPr>
          <w:p w:rsidR="00723562" w:rsidRPr="000E1168" w:rsidRDefault="00723562" w:rsidP="00CB45C6">
            <w:pPr>
              <w:spacing w:before="40" w:after="40"/>
              <w:jc w:val="center"/>
              <w:rPr>
                <w:b/>
                <w:sz w:val="20"/>
                <w:szCs w:val="20"/>
              </w:rPr>
            </w:pPr>
            <w:r w:rsidRPr="000E1168">
              <w:rPr>
                <w:b/>
                <w:sz w:val="20"/>
                <w:szCs w:val="20"/>
              </w:rPr>
              <w:t>Variables</w:t>
            </w:r>
          </w:p>
          <w:p w:rsidR="00723562" w:rsidRPr="000E1168" w:rsidRDefault="00723562" w:rsidP="00CB45C6">
            <w:pPr>
              <w:spacing w:before="40" w:after="40"/>
              <w:jc w:val="center"/>
              <w:rPr>
                <w:b/>
                <w:sz w:val="20"/>
                <w:szCs w:val="20"/>
              </w:rPr>
            </w:pPr>
            <w:r w:rsidRPr="000E1168">
              <w:rPr>
                <w:b/>
                <w:sz w:val="20"/>
                <w:szCs w:val="20"/>
              </w:rPr>
              <w:t>Sociodemográficas</w:t>
            </w:r>
          </w:p>
        </w:tc>
        <w:tc>
          <w:tcPr>
            <w:tcW w:w="1701" w:type="dxa"/>
            <w:vMerge w:val="restart"/>
            <w:tcBorders>
              <w:left w:val="nil"/>
              <w:right w:val="nil"/>
            </w:tcBorders>
            <w:shd w:val="clear" w:color="auto" w:fill="auto"/>
          </w:tcPr>
          <w:p w:rsidR="00723562" w:rsidRPr="000E1168" w:rsidRDefault="00723562" w:rsidP="00CB45C6">
            <w:pPr>
              <w:spacing w:before="40" w:after="40"/>
              <w:jc w:val="center"/>
              <w:rPr>
                <w:b/>
                <w:sz w:val="20"/>
                <w:szCs w:val="20"/>
              </w:rPr>
            </w:pPr>
          </w:p>
          <w:p w:rsidR="00723562" w:rsidRPr="000E1168" w:rsidRDefault="00723562" w:rsidP="00CB45C6">
            <w:pPr>
              <w:spacing w:before="40" w:after="40"/>
              <w:jc w:val="center"/>
              <w:rPr>
                <w:b/>
                <w:color w:val="C00000"/>
                <w:sz w:val="20"/>
                <w:szCs w:val="20"/>
              </w:rPr>
            </w:pPr>
            <w:r w:rsidRPr="000E1168">
              <w:rPr>
                <w:b/>
                <w:sz w:val="20"/>
                <w:szCs w:val="20"/>
              </w:rPr>
              <w:t>Categorías</w:t>
            </w:r>
          </w:p>
        </w:tc>
        <w:tc>
          <w:tcPr>
            <w:tcW w:w="1397" w:type="dxa"/>
            <w:gridSpan w:val="2"/>
            <w:tcBorders>
              <w:left w:val="nil"/>
              <w:bottom w:val="single" w:sz="4" w:space="0" w:color="auto"/>
              <w:right w:val="nil"/>
            </w:tcBorders>
            <w:shd w:val="clear" w:color="auto" w:fill="auto"/>
          </w:tcPr>
          <w:p w:rsidR="00723562" w:rsidRPr="000E1168" w:rsidRDefault="00723562" w:rsidP="00CB45C6">
            <w:pPr>
              <w:spacing w:before="40" w:after="40"/>
              <w:ind w:right="-128" w:hanging="108"/>
              <w:jc w:val="center"/>
              <w:rPr>
                <w:sz w:val="20"/>
                <w:szCs w:val="20"/>
              </w:rPr>
            </w:pPr>
            <w:r w:rsidRPr="000E1168">
              <w:rPr>
                <w:sz w:val="20"/>
                <w:szCs w:val="20"/>
              </w:rPr>
              <w:t>4 de Noviembre</w:t>
            </w:r>
          </w:p>
        </w:tc>
        <w:tc>
          <w:tcPr>
            <w:tcW w:w="1398" w:type="dxa"/>
            <w:gridSpan w:val="2"/>
            <w:tcBorders>
              <w:left w:val="nil"/>
              <w:bottom w:val="single" w:sz="4" w:space="0" w:color="auto"/>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José Peralta</w:t>
            </w:r>
          </w:p>
        </w:tc>
        <w:tc>
          <w:tcPr>
            <w:tcW w:w="1398" w:type="dxa"/>
            <w:gridSpan w:val="2"/>
            <w:tcBorders>
              <w:left w:val="nil"/>
              <w:bottom w:val="single" w:sz="4" w:space="0" w:color="auto"/>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Israel</w:t>
            </w:r>
          </w:p>
        </w:tc>
        <w:tc>
          <w:tcPr>
            <w:tcW w:w="1398" w:type="dxa"/>
            <w:gridSpan w:val="2"/>
            <w:tcBorders>
              <w:left w:val="nil"/>
              <w:bottom w:val="single" w:sz="4" w:space="0" w:color="auto"/>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Total</w:t>
            </w:r>
          </w:p>
        </w:tc>
      </w:tr>
      <w:tr w:rsidR="00723562" w:rsidRPr="000E1168" w:rsidTr="00CB45C6">
        <w:trPr>
          <w:jc w:val="center"/>
        </w:trPr>
        <w:tc>
          <w:tcPr>
            <w:tcW w:w="2140" w:type="dxa"/>
            <w:vMerge/>
            <w:tcBorders>
              <w:top w:val="nil"/>
              <w:left w:val="nil"/>
              <w:right w:val="nil"/>
            </w:tcBorders>
            <w:shd w:val="clear" w:color="auto" w:fill="auto"/>
          </w:tcPr>
          <w:p w:rsidR="00723562" w:rsidRPr="000E1168" w:rsidRDefault="00723562" w:rsidP="00CB45C6">
            <w:pPr>
              <w:spacing w:before="40" w:after="40"/>
              <w:jc w:val="both"/>
              <w:rPr>
                <w:sz w:val="20"/>
                <w:szCs w:val="20"/>
              </w:rPr>
            </w:pPr>
          </w:p>
        </w:tc>
        <w:tc>
          <w:tcPr>
            <w:tcW w:w="1701" w:type="dxa"/>
            <w:vMerge/>
            <w:tcBorders>
              <w:top w:val="nil"/>
              <w:left w:val="nil"/>
              <w:bottom w:val="single" w:sz="4" w:space="0" w:color="auto"/>
              <w:right w:val="nil"/>
            </w:tcBorders>
            <w:shd w:val="clear" w:color="auto" w:fill="auto"/>
          </w:tcPr>
          <w:p w:rsidR="00723562" w:rsidRPr="000E1168" w:rsidRDefault="00723562" w:rsidP="00CB45C6">
            <w:pPr>
              <w:spacing w:before="40" w:after="40"/>
              <w:jc w:val="center"/>
              <w:rPr>
                <w:sz w:val="20"/>
                <w:szCs w:val="20"/>
              </w:rPr>
            </w:pPr>
          </w:p>
        </w:tc>
        <w:tc>
          <w:tcPr>
            <w:tcW w:w="698" w:type="dxa"/>
            <w:tcBorders>
              <w:left w:val="nil"/>
              <w:bottom w:val="single" w:sz="4" w:space="0" w:color="auto"/>
              <w:right w:val="nil"/>
            </w:tcBorders>
            <w:shd w:val="clear" w:color="auto" w:fill="auto"/>
          </w:tcPr>
          <w:p w:rsidR="00723562" w:rsidRPr="000E1168" w:rsidRDefault="00723562" w:rsidP="00CB45C6">
            <w:pPr>
              <w:spacing w:before="40" w:after="40"/>
              <w:jc w:val="center"/>
              <w:rPr>
                <w:b/>
                <w:sz w:val="20"/>
                <w:szCs w:val="20"/>
              </w:rPr>
            </w:pPr>
            <w:r w:rsidRPr="000E1168">
              <w:rPr>
                <w:b/>
                <w:sz w:val="20"/>
                <w:szCs w:val="20"/>
              </w:rPr>
              <w:t>No</w:t>
            </w:r>
          </w:p>
        </w:tc>
        <w:tc>
          <w:tcPr>
            <w:tcW w:w="699" w:type="dxa"/>
            <w:tcBorders>
              <w:left w:val="nil"/>
              <w:bottom w:val="single" w:sz="4" w:space="0" w:color="auto"/>
              <w:right w:val="nil"/>
            </w:tcBorders>
            <w:shd w:val="clear" w:color="auto" w:fill="auto"/>
          </w:tcPr>
          <w:p w:rsidR="00723562" w:rsidRPr="000E1168" w:rsidRDefault="00723562" w:rsidP="00CB45C6">
            <w:pPr>
              <w:spacing w:before="40" w:after="40"/>
              <w:jc w:val="center"/>
              <w:rPr>
                <w:b/>
                <w:sz w:val="20"/>
                <w:szCs w:val="20"/>
              </w:rPr>
            </w:pPr>
            <w:r w:rsidRPr="000E1168">
              <w:rPr>
                <w:b/>
                <w:sz w:val="20"/>
                <w:szCs w:val="20"/>
              </w:rPr>
              <w:t>%</w:t>
            </w:r>
          </w:p>
        </w:tc>
        <w:tc>
          <w:tcPr>
            <w:tcW w:w="699" w:type="dxa"/>
            <w:tcBorders>
              <w:left w:val="nil"/>
              <w:bottom w:val="single" w:sz="4" w:space="0" w:color="auto"/>
              <w:right w:val="nil"/>
            </w:tcBorders>
            <w:shd w:val="clear" w:color="auto" w:fill="auto"/>
          </w:tcPr>
          <w:p w:rsidR="00723562" w:rsidRPr="000E1168" w:rsidRDefault="00723562" w:rsidP="00CB45C6">
            <w:pPr>
              <w:spacing w:before="40" w:after="40"/>
              <w:jc w:val="center"/>
              <w:rPr>
                <w:b/>
                <w:sz w:val="20"/>
                <w:szCs w:val="20"/>
              </w:rPr>
            </w:pPr>
            <w:r w:rsidRPr="000E1168">
              <w:rPr>
                <w:b/>
                <w:sz w:val="20"/>
                <w:szCs w:val="20"/>
              </w:rPr>
              <w:t>No</w:t>
            </w:r>
          </w:p>
        </w:tc>
        <w:tc>
          <w:tcPr>
            <w:tcW w:w="699" w:type="dxa"/>
            <w:tcBorders>
              <w:left w:val="nil"/>
              <w:bottom w:val="single" w:sz="4" w:space="0" w:color="auto"/>
              <w:right w:val="nil"/>
            </w:tcBorders>
            <w:shd w:val="clear" w:color="auto" w:fill="auto"/>
          </w:tcPr>
          <w:p w:rsidR="00723562" w:rsidRPr="000E1168" w:rsidRDefault="00723562" w:rsidP="00CB45C6">
            <w:pPr>
              <w:spacing w:before="40" w:after="40"/>
              <w:jc w:val="center"/>
              <w:rPr>
                <w:b/>
                <w:sz w:val="20"/>
                <w:szCs w:val="20"/>
              </w:rPr>
            </w:pPr>
            <w:r w:rsidRPr="000E1168">
              <w:rPr>
                <w:b/>
                <w:sz w:val="20"/>
                <w:szCs w:val="20"/>
              </w:rPr>
              <w:t>%</w:t>
            </w:r>
          </w:p>
        </w:tc>
        <w:tc>
          <w:tcPr>
            <w:tcW w:w="699" w:type="dxa"/>
            <w:tcBorders>
              <w:left w:val="nil"/>
              <w:bottom w:val="single" w:sz="4" w:space="0" w:color="auto"/>
              <w:right w:val="nil"/>
            </w:tcBorders>
            <w:shd w:val="clear" w:color="auto" w:fill="auto"/>
          </w:tcPr>
          <w:p w:rsidR="00723562" w:rsidRPr="000E1168" w:rsidRDefault="00723562" w:rsidP="00CB45C6">
            <w:pPr>
              <w:spacing w:before="40" w:after="40"/>
              <w:jc w:val="center"/>
              <w:rPr>
                <w:b/>
                <w:sz w:val="20"/>
                <w:szCs w:val="20"/>
              </w:rPr>
            </w:pPr>
            <w:r w:rsidRPr="000E1168">
              <w:rPr>
                <w:b/>
                <w:sz w:val="20"/>
                <w:szCs w:val="20"/>
              </w:rPr>
              <w:t>No</w:t>
            </w:r>
          </w:p>
        </w:tc>
        <w:tc>
          <w:tcPr>
            <w:tcW w:w="699" w:type="dxa"/>
            <w:tcBorders>
              <w:left w:val="nil"/>
              <w:bottom w:val="single" w:sz="4" w:space="0" w:color="auto"/>
              <w:right w:val="nil"/>
            </w:tcBorders>
            <w:shd w:val="clear" w:color="auto" w:fill="auto"/>
          </w:tcPr>
          <w:p w:rsidR="00723562" w:rsidRPr="000E1168" w:rsidRDefault="00723562" w:rsidP="00CB45C6">
            <w:pPr>
              <w:spacing w:before="40" w:after="40"/>
              <w:jc w:val="center"/>
              <w:rPr>
                <w:b/>
                <w:sz w:val="20"/>
                <w:szCs w:val="20"/>
              </w:rPr>
            </w:pPr>
            <w:r w:rsidRPr="000E1168">
              <w:rPr>
                <w:b/>
                <w:sz w:val="20"/>
                <w:szCs w:val="20"/>
              </w:rPr>
              <w:t>%</w:t>
            </w:r>
          </w:p>
        </w:tc>
        <w:tc>
          <w:tcPr>
            <w:tcW w:w="699" w:type="dxa"/>
            <w:tcBorders>
              <w:left w:val="nil"/>
              <w:bottom w:val="single" w:sz="4" w:space="0" w:color="auto"/>
              <w:right w:val="nil"/>
            </w:tcBorders>
            <w:shd w:val="clear" w:color="auto" w:fill="auto"/>
          </w:tcPr>
          <w:p w:rsidR="00723562" w:rsidRPr="000E1168" w:rsidRDefault="00723562" w:rsidP="00CB45C6">
            <w:pPr>
              <w:spacing w:before="40" w:after="40"/>
              <w:jc w:val="center"/>
              <w:rPr>
                <w:b/>
                <w:sz w:val="20"/>
                <w:szCs w:val="20"/>
              </w:rPr>
            </w:pPr>
            <w:r w:rsidRPr="000E1168">
              <w:rPr>
                <w:b/>
                <w:sz w:val="20"/>
                <w:szCs w:val="20"/>
              </w:rPr>
              <w:t>No</w:t>
            </w:r>
          </w:p>
        </w:tc>
        <w:tc>
          <w:tcPr>
            <w:tcW w:w="699" w:type="dxa"/>
            <w:tcBorders>
              <w:left w:val="nil"/>
              <w:bottom w:val="single" w:sz="4" w:space="0" w:color="auto"/>
              <w:right w:val="nil"/>
            </w:tcBorders>
            <w:shd w:val="clear" w:color="auto" w:fill="auto"/>
          </w:tcPr>
          <w:p w:rsidR="00723562" w:rsidRPr="000E1168" w:rsidRDefault="00723562" w:rsidP="00CB45C6">
            <w:pPr>
              <w:spacing w:before="40" w:after="40"/>
              <w:jc w:val="center"/>
              <w:rPr>
                <w:b/>
                <w:sz w:val="20"/>
                <w:szCs w:val="20"/>
              </w:rPr>
            </w:pPr>
            <w:r w:rsidRPr="000E1168">
              <w:rPr>
                <w:b/>
                <w:sz w:val="20"/>
                <w:szCs w:val="20"/>
              </w:rPr>
              <w:t>%</w:t>
            </w:r>
          </w:p>
        </w:tc>
      </w:tr>
      <w:tr w:rsidR="00723562" w:rsidRPr="000E1168" w:rsidTr="00CB45C6">
        <w:trPr>
          <w:jc w:val="center"/>
        </w:trPr>
        <w:tc>
          <w:tcPr>
            <w:tcW w:w="2140" w:type="dxa"/>
            <w:vMerge w:val="restart"/>
            <w:tcBorders>
              <w:left w:val="nil"/>
              <w:right w:val="nil"/>
            </w:tcBorders>
            <w:shd w:val="clear" w:color="auto" w:fill="auto"/>
          </w:tcPr>
          <w:p w:rsidR="00723562" w:rsidRPr="000E1168" w:rsidRDefault="00723562" w:rsidP="00CB45C6">
            <w:pPr>
              <w:spacing w:before="40" w:after="40"/>
              <w:jc w:val="both"/>
              <w:rPr>
                <w:sz w:val="20"/>
                <w:szCs w:val="20"/>
              </w:rPr>
            </w:pPr>
          </w:p>
          <w:p w:rsidR="00723562" w:rsidRPr="000E1168" w:rsidRDefault="00723562" w:rsidP="00CB45C6">
            <w:pPr>
              <w:spacing w:before="40" w:after="40"/>
              <w:jc w:val="both"/>
              <w:rPr>
                <w:sz w:val="20"/>
                <w:szCs w:val="20"/>
              </w:rPr>
            </w:pPr>
            <w:r w:rsidRPr="000E1168">
              <w:rPr>
                <w:sz w:val="20"/>
                <w:szCs w:val="20"/>
              </w:rPr>
              <w:t>Sexo</w:t>
            </w:r>
          </w:p>
        </w:tc>
        <w:tc>
          <w:tcPr>
            <w:tcW w:w="1701" w:type="dxa"/>
            <w:tcBorders>
              <w:left w:val="nil"/>
              <w:bottom w:val="nil"/>
              <w:right w:val="nil"/>
            </w:tcBorders>
            <w:shd w:val="clear" w:color="auto" w:fill="auto"/>
          </w:tcPr>
          <w:p w:rsidR="00723562" w:rsidRPr="000E1168" w:rsidRDefault="00723562" w:rsidP="00CB45C6">
            <w:pPr>
              <w:spacing w:before="40" w:after="40"/>
              <w:jc w:val="both"/>
              <w:rPr>
                <w:color w:val="C00000"/>
                <w:sz w:val="20"/>
                <w:szCs w:val="20"/>
              </w:rPr>
            </w:pPr>
            <w:r w:rsidRPr="000E1168">
              <w:rPr>
                <w:sz w:val="20"/>
                <w:szCs w:val="20"/>
              </w:rPr>
              <w:t>Masculino</w:t>
            </w:r>
          </w:p>
        </w:tc>
        <w:tc>
          <w:tcPr>
            <w:tcW w:w="698" w:type="dxa"/>
            <w:tcBorders>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26</w:t>
            </w:r>
          </w:p>
        </w:tc>
        <w:tc>
          <w:tcPr>
            <w:tcW w:w="699" w:type="dxa"/>
            <w:tcBorders>
              <w:left w:val="nil"/>
              <w:bottom w:val="nil"/>
              <w:right w:val="nil"/>
            </w:tcBorders>
            <w:shd w:val="clear" w:color="auto" w:fill="auto"/>
          </w:tcPr>
          <w:p w:rsidR="00723562" w:rsidRPr="000E1168" w:rsidRDefault="00723562" w:rsidP="00CB45C6">
            <w:pPr>
              <w:spacing w:before="40" w:after="40"/>
              <w:ind w:right="-108" w:hanging="104"/>
              <w:jc w:val="center"/>
              <w:rPr>
                <w:sz w:val="20"/>
                <w:szCs w:val="20"/>
              </w:rPr>
            </w:pPr>
            <w:r w:rsidRPr="000E1168">
              <w:rPr>
                <w:sz w:val="20"/>
                <w:szCs w:val="20"/>
              </w:rPr>
              <w:t>26.1</w:t>
            </w:r>
          </w:p>
        </w:tc>
        <w:tc>
          <w:tcPr>
            <w:tcW w:w="699" w:type="dxa"/>
            <w:tcBorders>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16</w:t>
            </w:r>
          </w:p>
        </w:tc>
        <w:tc>
          <w:tcPr>
            <w:tcW w:w="699" w:type="dxa"/>
            <w:tcBorders>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16.1</w:t>
            </w:r>
          </w:p>
        </w:tc>
        <w:tc>
          <w:tcPr>
            <w:tcW w:w="699" w:type="dxa"/>
            <w:tcBorders>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24</w:t>
            </w:r>
          </w:p>
        </w:tc>
        <w:tc>
          <w:tcPr>
            <w:tcW w:w="699" w:type="dxa"/>
            <w:tcBorders>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24.1</w:t>
            </w:r>
          </w:p>
        </w:tc>
        <w:tc>
          <w:tcPr>
            <w:tcW w:w="699" w:type="dxa"/>
            <w:tcBorders>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66</w:t>
            </w:r>
          </w:p>
        </w:tc>
        <w:tc>
          <w:tcPr>
            <w:tcW w:w="699" w:type="dxa"/>
            <w:tcBorders>
              <w:left w:val="nil"/>
              <w:bottom w:val="nil"/>
              <w:right w:val="nil"/>
            </w:tcBorders>
            <w:shd w:val="clear" w:color="auto" w:fill="auto"/>
          </w:tcPr>
          <w:p w:rsidR="00723562" w:rsidRPr="000E1168" w:rsidRDefault="00723562" w:rsidP="00CB45C6">
            <w:pPr>
              <w:spacing w:before="40" w:after="40"/>
              <w:ind w:right="-108" w:hanging="100"/>
              <w:jc w:val="center"/>
              <w:rPr>
                <w:sz w:val="20"/>
                <w:szCs w:val="20"/>
              </w:rPr>
            </w:pPr>
            <w:r w:rsidRPr="000E1168">
              <w:rPr>
                <w:sz w:val="20"/>
                <w:szCs w:val="20"/>
              </w:rPr>
              <w:t>66.3</w:t>
            </w:r>
          </w:p>
        </w:tc>
      </w:tr>
      <w:tr w:rsidR="00723562" w:rsidRPr="000E1168" w:rsidTr="00CB45C6">
        <w:trPr>
          <w:jc w:val="center"/>
        </w:trPr>
        <w:tc>
          <w:tcPr>
            <w:tcW w:w="2140" w:type="dxa"/>
            <w:vMerge/>
            <w:tcBorders>
              <w:left w:val="nil"/>
              <w:right w:val="nil"/>
            </w:tcBorders>
            <w:shd w:val="clear" w:color="auto" w:fill="auto"/>
          </w:tcPr>
          <w:p w:rsidR="00723562" w:rsidRPr="000E1168" w:rsidRDefault="00723562" w:rsidP="00CB45C6">
            <w:pPr>
              <w:spacing w:before="40" w:after="40"/>
              <w:jc w:val="both"/>
              <w:rPr>
                <w:sz w:val="20"/>
                <w:szCs w:val="20"/>
              </w:rPr>
            </w:pPr>
          </w:p>
        </w:tc>
        <w:tc>
          <w:tcPr>
            <w:tcW w:w="1701" w:type="dxa"/>
            <w:tcBorders>
              <w:top w:val="nil"/>
              <w:left w:val="nil"/>
              <w:right w:val="nil"/>
            </w:tcBorders>
            <w:shd w:val="clear" w:color="auto" w:fill="auto"/>
          </w:tcPr>
          <w:p w:rsidR="00723562" w:rsidRPr="000E1168" w:rsidRDefault="00723562" w:rsidP="00CB45C6">
            <w:pPr>
              <w:spacing w:before="40" w:after="40"/>
              <w:jc w:val="both"/>
              <w:rPr>
                <w:color w:val="C00000"/>
                <w:sz w:val="20"/>
                <w:szCs w:val="20"/>
              </w:rPr>
            </w:pPr>
            <w:r w:rsidRPr="000E1168">
              <w:rPr>
                <w:sz w:val="20"/>
                <w:szCs w:val="20"/>
              </w:rPr>
              <w:t>Femenino</w:t>
            </w:r>
          </w:p>
        </w:tc>
        <w:tc>
          <w:tcPr>
            <w:tcW w:w="698" w:type="dxa"/>
            <w:tcBorders>
              <w:top w:val="nil"/>
              <w:left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12</w:t>
            </w:r>
          </w:p>
        </w:tc>
        <w:tc>
          <w:tcPr>
            <w:tcW w:w="699" w:type="dxa"/>
            <w:tcBorders>
              <w:top w:val="nil"/>
              <w:left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12.2</w:t>
            </w:r>
          </w:p>
        </w:tc>
        <w:tc>
          <w:tcPr>
            <w:tcW w:w="699" w:type="dxa"/>
            <w:tcBorders>
              <w:top w:val="nil"/>
              <w:left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6</w:t>
            </w:r>
          </w:p>
        </w:tc>
        <w:tc>
          <w:tcPr>
            <w:tcW w:w="699" w:type="dxa"/>
            <w:tcBorders>
              <w:top w:val="nil"/>
              <w:left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6.1</w:t>
            </w:r>
          </w:p>
        </w:tc>
        <w:tc>
          <w:tcPr>
            <w:tcW w:w="699" w:type="dxa"/>
            <w:tcBorders>
              <w:top w:val="nil"/>
              <w:left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14</w:t>
            </w:r>
          </w:p>
        </w:tc>
        <w:tc>
          <w:tcPr>
            <w:tcW w:w="699" w:type="dxa"/>
            <w:tcBorders>
              <w:top w:val="nil"/>
              <w:left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14.3</w:t>
            </w:r>
          </w:p>
        </w:tc>
        <w:tc>
          <w:tcPr>
            <w:tcW w:w="699" w:type="dxa"/>
            <w:tcBorders>
              <w:top w:val="nil"/>
              <w:left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32</w:t>
            </w:r>
          </w:p>
        </w:tc>
        <w:tc>
          <w:tcPr>
            <w:tcW w:w="699" w:type="dxa"/>
            <w:tcBorders>
              <w:top w:val="nil"/>
              <w:left w:val="nil"/>
              <w:right w:val="nil"/>
            </w:tcBorders>
            <w:shd w:val="clear" w:color="auto" w:fill="auto"/>
          </w:tcPr>
          <w:p w:rsidR="00723562" w:rsidRPr="000E1168" w:rsidRDefault="00723562" w:rsidP="00CB45C6">
            <w:pPr>
              <w:spacing w:before="40" w:after="40"/>
              <w:ind w:right="-108" w:hanging="104"/>
              <w:jc w:val="center"/>
              <w:rPr>
                <w:sz w:val="20"/>
                <w:szCs w:val="20"/>
              </w:rPr>
            </w:pPr>
            <w:r w:rsidRPr="000E1168">
              <w:rPr>
                <w:sz w:val="20"/>
                <w:szCs w:val="20"/>
              </w:rPr>
              <w:t>32.7</w:t>
            </w:r>
          </w:p>
        </w:tc>
      </w:tr>
      <w:tr w:rsidR="00723562" w:rsidRPr="000E1168" w:rsidTr="00CB45C6">
        <w:trPr>
          <w:jc w:val="center"/>
        </w:trPr>
        <w:tc>
          <w:tcPr>
            <w:tcW w:w="2140" w:type="dxa"/>
            <w:vMerge w:val="restart"/>
            <w:tcBorders>
              <w:left w:val="nil"/>
              <w:right w:val="nil"/>
            </w:tcBorders>
            <w:shd w:val="clear" w:color="auto" w:fill="auto"/>
          </w:tcPr>
          <w:p w:rsidR="00723562" w:rsidRPr="000E1168" w:rsidRDefault="00723562" w:rsidP="00CB45C6">
            <w:pPr>
              <w:spacing w:before="40" w:after="40"/>
              <w:jc w:val="both"/>
              <w:rPr>
                <w:sz w:val="20"/>
                <w:szCs w:val="20"/>
              </w:rPr>
            </w:pPr>
          </w:p>
          <w:p w:rsidR="00723562" w:rsidRPr="000E1168" w:rsidRDefault="00723562" w:rsidP="00CB45C6">
            <w:pPr>
              <w:spacing w:before="40" w:after="40"/>
              <w:jc w:val="both"/>
              <w:rPr>
                <w:sz w:val="20"/>
                <w:szCs w:val="20"/>
              </w:rPr>
            </w:pPr>
          </w:p>
          <w:p w:rsidR="00723562" w:rsidRPr="000E1168" w:rsidRDefault="00723562" w:rsidP="00CB45C6">
            <w:pPr>
              <w:spacing w:before="40" w:after="40"/>
              <w:jc w:val="both"/>
              <w:rPr>
                <w:sz w:val="20"/>
                <w:szCs w:val="20"/>
              </w:rPr>
            </w:pPr>
            <w:r w:rsidRPr="000E1168">
              <w:rPr>
                <w:sz w:val="20"/>
                <w:szCs w:val="20"/>
              </w:rPr>
              <w:t>Escolaridad</w:t>
            </w:r>
          </w:p>
        </w:tc>
        <w:tc>
          <w:tcPr>
            <w:tcW w:w="1701" w:type="dxa"/>
            <w:tcBorders>
              <w:left w:val="nil"/>
              <w:bottom w:val="nil"/>
              <w:right w:val="nil"/>
            </w:tcBorders>
            <w:shd w:val="clear" w:color="auto" w:fill="auto"/>
          </w:tcPr>
          <w:p w:rsidR="00723562" w:rsidRPr="000E1168" w:rsidRDefault="00723562" w:rsidP="00CB45C6">
            <w:pPr>
              <w:spacing w:before="40" w:after="40"/>
              <w:jc w:val="both"/>
              <w:rPr>
                <w:color w:val="C00000"/>
                <w:sz w:val="20"/>
                <w:szCs w:val="20"/>
              </w:rPr>
            </w:pPr>
            <w:r w:rsidRPr="000E1168">
              <w:rPr>
                <w:sz w:val="20"/>
                <w:szCs w:val="20"/>
              </w:rPr>
              <w:t>4to básica</w:t>
            </w:r>
          </w:p>
        </w:tc>
        <w:tc>
          <w:tcPr>
            <w:tcW w:w="698" w:type="dxa"/>
            <w:tcBorders>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15</w:t>
            </w:r>
          </w:p>
        </w:tc>
        <w:tc>
          <w:tcPr>
            <w:tcW w:w="699" w:type="dxa"/>
            <w:tcBorders>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15.3</w:t>
            </w:r>
          </w:p>
        </w:tc>
        <w:tc>
          <w:tcPr>
            <w:tcW w:w="699" w:type="dxa"/>
            <w:tcBorders>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4</w:t>
            </w:r>
          </w:p>
        </w:tc>
        <w:tc>
          <w:tcPr>
            <w:tcW w:w="699" w:type="dxa"/>
            <w:tcBorders>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4.1</w:t>
            </w:r>
          </w:p>
        </w:tc>
        <w:tc>
          <w:tcPr>
            <w:tcW w:w="699" w:type="dxa"/>
            <w:tcBorders>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6</w:t>
            </w:r>
          </w:p>
        </w:tc>
        <w:tc>
          <w:tcPr>
            <w:tcW w:w="699" w:type="dxa"/>
            <w:tcBorders>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6.1</w:t>
            </w:r>
          </w:p>
        </w:tc>
        <w:tc>
          <w:tcPr>
            <w:tcW w:w="699" w:type="dxa"/>
            <w:tcBorders>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25</w:t>
            </w:r>
          </w:p>
        </w:tc>
        <w:tc>
          <w:tcPr>
            <w:tcW w:w="699" w:type="dxa"/>
            <w:tcBorders>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25.5</w:t>
            </w:r>
          </w:p>
        </w:tc>
      </w:tr>
      <w:tr w:rsidR="00723562" w:rsidRPr="000E1168" w:rsidTr="00CB45C6">
        <w:trPr>
          <w:jc w:val="center"/>
        </w:trPr>
        <w:tc>
          <w:tcPr>
            <w:tcW w:w="2140" w:type="dxa"/>
            <w:vMerge/>
            <w:tcBorders>
              <w:left w:val="nil"/>
              <w:right w:val="nil"/>
            </w:tcBorders>
            <w:shd w:val="clear" w:color="auto" w:fill="auto"/>
          </w:tcPr>
          <w:p w:rsidR="00723562" w:rsidRPr="000E1168" w:rsidRDefault="00723562" w:rsidP="00CB45C6">
            <w:pPr>
              <w:spacing w:before="40" w:after="40"/>
              <w:jc w:val="both"/>
              <w:rPr>
                <w:sz w:val="20"/>
                <w:szCs w:val="20"/>
              </w:rPr>
            </w:pPr>
          </w:p>
        </w:tc>
        <w:tc>
          <w:tcPr>
            <w:tcW w:w="1701" w:type="dxa"/>
            <w:tcBorders>
              <w:top w:val="nil"/>
              <w:left w:val="nil"/>
              <w:bottom w:val="nil"/>
              <w:right w:val="nil"/>
            </w:tcBorders>
            <w:shd w:val="clear" w:color="auto" w:fill="auto"/>
          </w:tcPr>
          <w:p w:rsidR="00723562" w:rsidRPr="000E1168" w:rsidRDefault="00723562" w:rsidP="00CB45C6">
            <w:pPr>
              <w:spacing w:before="40" w:after="40"/>
              <w:jc w:val="both"/>
              <w:rPr>
                <w:color w:val="C00000"/>
                <w:sz w:val="20"/>
                <w:szCs w:val="20"/>
              </w:rPr>
            </w:pPr>
            <w:r w:rsidRPr="000E1168">
              <w:rPr>
                <w:sz w:val="20"/>
                <w:szCs w:val="20"/>
              </w:rPr>
              <w:t>5to básica</w:t>
            </w:r>
          </w:p>
        </w:tc>
        <w:tc>
          <w:tcPr>
            <w:tcW w:w="698"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6</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6.1</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5</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5.1</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5</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5.1</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16</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16.3</w:t>
            </w:r>
          </w:p>
        </w:tc>
      </w:tr>
      <w:tr w:rsidR="00723562" w:rsidRPr="000E1168" w:rsidTr="00CB45C6">
        <w:trPr>
          <w:jc w:val="center"/>
        </w:trPr>
        <w:tc>
          <w:tcPr>
            <w:tcW w:w="2140" w:type="dxa"/>
            <w:vMerge/>
            <w:tcBorders>
              <w:left w:val="nil"/>
              <w:right w:val="nil"/>
            </w:tcBorders>
            <w:shd w:val="clear" w:color="auto" w:fill="auto"/>
          </w:tcPr>
          <w:p w:rsidR="00723562" w:rsidRPr="000E1168" w:rsidRDefault="00723562" w:rsidP="00CB45C6">
            <w:pPr>
              <w:spacing w:before="40" w:after="40"/>
              <w:jc w:val="both"/>
              <w:rPr>
                <w:sz w:val="20"/>
                <w:szCs w:val="20"/>
              </w:rPr>
            </w:pPr>
          </w:p>
        </w:tc>
        <w:tc>
          <w:tcPr>
            <w:tcW w:w="1701" w:type="dxa"/>
            <w:tcBorders>
              <w:top w:val="nil"/>
              <w:left w:val="nil"/>
              <w:bottom w:val="nil"/>
              <w:right w:val="nil"/>
            </w:tcBorders>
            <w:shd w:val="clear" w:color="auto" w:fill="auto"/>
          </w:tcPr>
          <w:p w:rsidR="00723562" w:rsidRPr="000E1168" w:rsidRDefault="00723562" w:rsidP="00CB45C6">
            <w:pPr>
              <w:spacing w:before="40" w:after="40"/>
              <w:jc w:val="both"/>
              <w:rPr>
                <w:color w:val="C00000"/>
                <w:sz w:val="20"/>
                <w:szCs w:val="20"/>
              </w:rPr>
            </w:pPr>
            <w:r w:rsidRPr="000E1168">
              <w:rPr>
                <w:sz w:val="20"/>
                <w:szCs w:val="20"/>
              </w:rPr>
              <w:t>6to básica</w:t>
            </w:r>
          </w:p>
        </w:tc>
        <w:tc>
          <w:tcPr>
            <w:tcW w:w="698"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5</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5.1</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3</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3.1</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14</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14.2</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22</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22.4</w:t>
            </w:r>
          </w:p>
        </w:tc>
      </w:tr>
      <w:tr w:rsidR="00723562" w:rsidRPr="000E1168" w:rsidTr="00CB45C6">
        <w:trPr>
          <w:jc w:val="center"/>
        </w:trPr>
        <w:tc>
          <w:tcPr>
            <w:tcW w:w="2140" w:type="dxa"/>
            <w:vMerge/>
            <w:tcBorders>
              <w:left w:val="nil"/>
              <w:bottom w:val="single" w:sz="4" w:space="0" w:color="auto"/>
              <w:right w:val="nil"/>
            </w:tcBorders>
            <w:shd w:val="clear" w:color="auto" w:fill="auto"/>
          </w:tcPr>
          <w:p w:rsidR="00723562" w:rsidRPr="000E1168" w:rsidRDefault="00723562" w:rsidP="00CB45C6">
            <w:pPr>
              <w:spacing w:before="40" w:after="40"/>
              <w:jc w:val="both"/>
              <w:rPr>
                <w:sz w:val="20"/>
                <w:szCs w:val="20"/>
              </w:rPr>
            </w:pPr>
          </w:p>
        </w:tc>
        <w:tc>
          <w:tcPr>
            <w:tcW w:w="1701" w:type="dxa"/>
            <w:tcBorders>
              <w:top w:val="nil"/>
              <w:left w:val="nil"/>
              <w:bottom w:val="single" w:sz="4" w:space="0" w:color="auto"/>
              <w:right w:val="nil"/>
            </w:tcBorders>
            <w:shd w:val="clear" w:color="auto" w:fill="auto"/>
          </w:tcPr>
          <w:p w:rsidR="00723562" w:rsidRPr="000E1168" w:rsidRDefault="00723562" w:rsidP="00CB45C6">
            <w:pPr>
              <w:spacing w:before="40" w:after="40"/>
              <w:jc w:val="both"/>
              <w:rPr>
                <w:color w:val="C00000"/>
                <w:sz w:val="20"/>
                <w:szCs w:val="20"/>
              </w:rPr>
            </w:pPr>
            <w:r w:rsidRPr="000E1168">
              <w:rPr>
                <w:sz w:val="20"/>
                <w:szCs w:val="20"/>
              </w:rPr>
              <w:t>7mo básica</w:t>
            </w:r>
          </w:p>
        </w:tc>
        <w:tc>
          <w:tcPr>
            <w:tcW w:w="698" w:type="dxa"/>
            <w:tcBorders>
              <w:top w:val="nil"/>
              <w:left w:val="nil"/>
              <w:bottom w:val="single" w:sz="4" w:space="0" w:color="auto"/>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12</w:t>
            </w:r>
          </w:p>
        </w:tc>
        <w:tc>
          <w:tcPr>
            <w:tcW w:w="699" w:type="dxa"/>
            <w:tcBorders>
              <w:top w:val="nil"/>
              <w:left w:val="nil"/>
              <w:bottom w:val="single" w:sz="4" w:space="0" w:color="auto"/>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12.2</w:t>
            </w:r>
          </w:p>
        </w:tc>
        <w:tc>
          <w:tcPr>
            <w:tcW w:w="699" w:type="dxa"/>
            <w:tcBorders>
              <w:top w:val="nil"/>
              <w:left w:val="nil"/>
              <w:bottom w:val="single" w:sz="4" w:space="0" w:color="auto"/>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10</w:t>
            </w:r>
          </w:p>
        </w:tc>
        <w:tc>
          <w:tcPr>
            <w:tcW w:w="699" w:type="dxa"/>
            <w:tcBorders>
              <w:top w:val="nil"/>
              <w:left w:val="nil"/>
              <w:bottom w:val="single" w:sz="4" w:space="0" w:color="auto"/>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10.2</w:t>
            </w:r>
          </w:p>
        </w:tc>
        <w:tc>
          <w:tcPr>
            <w:tcW w:w="699" w:type="dxa"/>
            <w:tcBorders>
              <w:top w:val="nil"/>
              <w:left w:val="nil"/>
              <w:bottom w:val="single" w:sz="4" w:space="0" w:color="auto"/>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13</w:t>
            </w:r>
          </w:p>
        </w:tc>
        <w:tc>
          <w:tcPr>
            <w:tcW w:w="699" w:type="dxa"/>
            <w:tcBorders>
              <w:top w:val="nil"/>
              <w:left w:val="nil"/>
              <w:bottom w:val="single" w:sz="4" w:space="0" w:color="auto"/>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13.3</w:t>
            </w:r>
          </w:p>
        </w:tc>
        <w:tc>
          <w:tcPr>
            <w:tcW w:w="699" w:type="dxa"/>
            <w:tcBorders>
              <w:top w:val="nil"/>
              <w:left w:val="nil"/>
              <w:bottom w:val="single" w:sz="4" w:space="0" w:color="auto"/>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35</w:t>
            </w:r>
          </w:p>
        </w:tc>
        <w:tc>
          <w:tcPr>
            <w:tcW w:w="699" w:type="dxa"/>
            <w:tcBorders>
              <w:top w:val="nil"/>
              <w:left w:val="nil"/>
              <w:bottom w:val="single" w:sz="4" w:space="0" w:color="auto"/>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35.7</w:t>
            </w:r>
          </w:p>
        </w:tc>
      </w:tr>
      <w:tr w:rsidR="00723562" w:rsidRPr="000E1168" w:rsidTr="00CB45C6">
        <w:trPr>
          <w:jc w:val="center"/>
        </w:trPr>
        <w:tc>
          <w:tcPr>
            <w:tcW w:w="2140" w:type="dxa"/>
            <w:vMerge w:val="restart"/>
            <w:tcBorders>
              <w:left w:val="nil"/>
              <w:bottom w:val="nil"/>
              <w:right w:val="nil"/>
            </w:tcBorders>
            <w:shd w:val="clear" w:color="auto" w:fill="auto"/>
          </w:tcPr>
          <w:p w:rsidR="00723562" w:rsidRPr="000E1168" w:rsidRDefault="00723562" w:rsidP="00CB45C6">
            <w:pPr>
              <w:spacing w:before="40" w:after="40"/>
              <w:jc w:val="both"/>
              <w:rPr>
                <w:sz w:val="20"/>
                <w:szCs w:val="20"/>
              </w:rPr>
            </w:pPr>
          </w:p>
          <w:p w:rsidR="00723562" w:rsidRPr="000E1168" w:rsidRDefault="00723562" w:rsidP="00CB45C6">
            <w:pPr>
              <w:spacing w:before="40" w:after="40"/>
              <w:jc w:val="both"/>
              <w:rPr>
                <w:sz w:val="20"/>
                <w:szCs w:val="20"/>
              </w:rPr>
            </w:pPr>
          </w:p>
          <w:p w:rsidR="00723562" w:rsidRPr="000E1168" w:rsidRDefault="00723562" w:rsidP="00CB45C6">
            <w:pPr>
              <w:spacing w:before="40" w:after="40"/>
              <w:jc w:val="both"/>
              <w:rPr>
                <w:sz w:val="20"/>
                <w:szCs w:val="20"/>
              </w:rPr>
            </w:pPr>
          </w:p>
          <w:p w:rsidR="00723562" w:rsidRPr="000E1168" w:rsidRDefault="00723562" w:rsidP="00CB45C6">
            <w:pPr>
              <w:spacing w:before="40" w:after="40"/>
              <w:jc w:val="both"/>
              <w:rPr>
                <w:sz w:val="20"/>
                <w:szCs w:val="20"/>
              </w:rPr>
            </w:pPr>
          </w:p>
          <w:p w:rsidR="00723562" w:rsidRPr="000E1168" w:rsidRDefault="00723562" w:rsidP="00CB45C6">
            <w:pPr>
              <w:spacing w:before="40" w:after="40"/>
              <w:jc w:val="both"/>
              <w:rPr>
                <w:sz w:val="20"/>
                <w:szCs w:val="20"/>
              </w:rPr>
            </w:pPr>
            <w:r w:rsidRPr="000E1168">
              <w:rPr>
                <w:sz w:val="20"/>
                <w:szCs w:val="20"/>
              </w:rPr>
              <w:t>Zona de residencia</w:t>
            </w:r>
          </w:p>
        </w:tc>
        <w:tc>
          <w:tcPr>
            <w:tcW w:w="1701" w:type="dxa"/>
            <w:tcBorders>
              <w:left w:val="nil"/>
              <w:bottom w:val="nil"/>
              <w:right w:val="nil"/>
            </w:tcBorders>
            <w:shd w:val="clear" w:color="auto" w:fill="auto"/>
          </w:tcPr>
          <w:p w:rsidR="00723562" w:rsidRPr="000E1168" w:rsidRDefault="00723562" w:rsidP="00CB45C6">
            <w:pPr>
              <w:spacing w:before="40" w:after="40"/>
              <w:jc w:val="both"/>
              <w:rPr>
                <w:color w:val="C00000"/>
                <w:sz w:val="20"/>
                <w:szCs w:val="20"/>
              </w:rPr>
            </w:pPr>
            <w:r w:rsidRPr="000E1168">
              <w:rPr>
                <w:sz w:val="20"/>
                <w:szCs w:val="20"/>
              </w:rPr>
              <w:t>Manta</w:t>
            </w:r>
          </w:p>
        </w:tc>
        <w:tc>
          <w:tcPr>
            <w:tcW w:w="698" w:type="dxa"/>
            <w:tcBorders>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33</w:t>
            </w:r>
          </w:p>
        </w:tc>
        <w:tc>
          <w:tcPr>
            <w:tcW w:w="699" w:type="dxa"/>
            <w:tcBorders>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33.6</w:t>
            </w:r>
          </w:p>
        </w:tc>
        <w:tc>
          <w:tcPr>
            <w:tcW w:w="699" w:type="dxa"/>
            <w:tcBorders>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9</w:t>
            </w:r>
          </w:p>
        </w:tc>
        <w:tc>
          <w:tcPr>
            <w:tcW w:w="699" w:type="dxa"/>
            <w:tcBorders>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9.1</w:t>
            </w:r>
          </w:p>
        </w:tc>
        <w:tc>
          <w:tcPr>
            <w:tcW w:w="699" w:type="dxa"/>
            <w:tcBorders>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22</w:t>
            </w:r>
          </w:p>
        </w:tc>
        <w:tc>
          <w:tcPr>
            <w:tcW w:w="699" w:type="dxa"/>
            <w:tcBorders>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22.4</w:t>
            </w:r>
          </w:p>
        </w:tc>
        <w:tc>
          <w:tcPr>
            <w:tcW w:w="699" w:type="dxa"/>
            <w:tcBorders>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64</w:t>
            </w:r>
          </w:p>
        </w:tc>
        <w:tc>
          <w:tcPr>
            <w:tcW w:w="699" w:type="dxa"/>
            <w:tcBorders>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65.3</w:t>
            </w:r>
          </w:p>
        </w:tc>
      </w:tr>
      <w:tr w:rsidR="00723562" w:rsidRPr="000E1168" w:rsidTr="00CB45C6">
        <w:trPr>
          <w:jc w:val="center"/>
        </w:trPr>
        <w:tc>
          <w:tcPr>
            <w:tcW w:w="2140" w:type="dxa"/>
            <w:vMerge/>
            <w:tcBorders>
              <w:top w:val="nil"/>
              <w:left w:val="nil"/>
              <w:bottom w:val="nil"/>
              <w:right w:val="nil"/>
            </w:tcBorders>
            <w:shd w:val="clear" w:color="auto" w:fill="auto"/>
          </w:tcPr>
          <w:p w:rsidR="00723562" w:rsidRPr="000E1168" w:rsidRDefault="00723562" w:rsidP="00CB45C6">
            <w:pPr>
              <w:spacing w:before="40" w:after="40"/>
              <w:jc w:val="both"/>
              <w:rPr>
                <w:sz w:val="20"/>
                <w:szCs w:val="20"/>
              </w:rPr>
            </w:pPr>
          </w:p>
        </w:tc>
        <w:tc>
          <w:tcPr>
            <w:tcW w:w="1701" w:type="dxa"/>
            <w:tcBorders>
              <w:top w:val="nil"/>
              <w:left w:val="nil"/>
              <w:bottom w:val="nil"/>
              <w:right w:val="nil"/>
            </w:tcBorders>
            <w:shd w:val="clear" w:color="auto" w:fill="auto"/>
          </w:tcPr>
          <w:p w:rsidR="00723562" w:rsidRPr="000E1168" w:rsidRDefault="00723562" w:rsidP="00CB45C6">
            <w:pPr>
              <w:spacing w:before="40" w:after="40"/>
              <w:jc w:val="both"/>
              <w:rPr>
                <w:color w:val="C00000"/>
                <w:sz w:val="20"/>
                <w:szCs w:val="20"/>
              </w:rPr>
            </w:pPr>
            <w:r w:rsidRPr="000E1168">
              <w:rPr>
                <w:sz w:val="20"/>
                <w:szCs w:val="20"/>
              </w:rPr>
              <w:t>Los Esteros</w:t>
            </w:r>
          </w:p>
        </w:tc>
        <w:tc>
          <w:tcPr>
            <w:tcW w:w="698"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4</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4"/>
              <w:jc w:val="center"/>
              <w:rPr>
                <w:sz w:val="20"/>
                <w:szCs w:val="20"/>
              </w:rPr>
            </w:pPr>
            <w:r w:rsidRPr="000E1168">
              <w:rPr>
                <w:sz w:val="20"/>
                <w:szCs w:val="20"/>
              </w:rPr>
              <w:t>4.1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5</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5.1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3</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3.1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12</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0"/>
              <w:jc w:val="center"/>
              <w:rPr>
                <w:sz w:val="20"/>
                <w:szCs w:val="20"/>
              </w:rPr>
            </w:pPr>
            <w:r w:rsidRPr="000E1168">
              <w:rPr>
                <w:sz w:val="20"/>
                <w:szCs w:val="20"/>
              </w:rPr>
              <w:t>12.2</w:t>
            </w:r>
          </w:p>
        </w:tc>
      </w:tr>
      <w:tr w:rsidR="00723562" w:rsidRPr="000E1168" w:rsidTr="00CB45C6">
        <w:trPr>
          <w:jc w:val="center"/>
        </w:trPr>
        <w:tc>
          <w:tcPr>
            <w:tcW w:w="2140" w:type="dxa"/>
            <w:vMerge/>
            <w:tcBorders>
              <w:top w:val="nil"/>
              <w:left w:val="nil"/>
              <w:bottom w:val="nil"/>
              <w:right w:val="nil"/>
            </w:tcBorders>
            <w:shd w:val="clear" w:color="auto" w:fill="auto"/>
          </w:tcPr>
          <w:p w:rsidR="00723562" w:rsidRPr="000E1168" w:rsidRDefault="00723562" w:rsidP="00CB45C6">
            <w:pPr>
              <w:spacing w:before="40" w:after="40"/>
              <w:jc w:val="both"/>
              <w:rPr>
                <w:sz w:val="20"/>
                <w:szCs w:val="20"/>
              </w:rPr>
            </w:pPr>
          </w:p>
        </w:tc>
        <w:tc>
          <w:tcPr>
            <w:tcW w:w="1701" w:type="dxa"/>
            <w:tcBorders>
              <w:top w:val="nil"/>
              <w:left w:val="nil"/>
              <w:bottom w:val="nil"/>
              <w:right w:val="nil"/>
            </w:tcBorders>
            <w:shd w:val="clear" w:color="auto" w:fill="auto"/>
          </w:tcPr>
          <w:p w:rsidR="00723562" w:rsidRPr="000E1168" w:rsidRDefault="00723562" w:rsidP="00CB45C6">
            <w:pPr>
              <w:spacing w:before="40" w:after="40"/>
              <w:jc w:val="both"/>
              <w:rPr>
                <w:color w:val="C00000"/>
                <w:sz w:val="20"/>
                <w:szCs w:val="20"/>
              </w:rPr>
            </w:pPr>
            <w:r w:rsidRPr="000E1168">
              <w:rPr>
                <w:sz w:val="20"/>
                <w:szCs w:val="20"/>
              </w:rPr>
              <w:t>San Mateo</w:t>
            </w:r>
          </w:p>
        </w:tc>
        <w:tc>
          <w:tcPr>
            <w:tcW w:w="698"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0</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4"/>
              <w:jc w:val="center"/>
              <w:rPr>
                <w:sz w:val="20"/>
                <w:szCs w:val="20"/>
              </w:rPr>
            </w:pPr>
            <w:r w:rsidRPr="000E1168">
              <w:rPr>
                <w:sz w:val="20"/>
                <w:szCs w:val="20"/>
              </w:rPr>
              <w:t>0</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1</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1.1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0</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0</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1</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0"/>
              <w:jc w:val="center"/>
              <w:rPr>
                <w:sz w:val="20"/>
                <w:szCs w:val="20"/>
              </w:rPr>
            </w:pPr>
            <w:r w:rsidRPr="000E1168">
              <w:rPr>
                <w:sz w:val="20"/>
                <w:szCs w:val="20"/>
              </w:rPr>
              <w:t>1.1</w:t>
            </w:r>
          </w:p>
        </w:tc>
      </w:tr>
      <w:tr w:rsidR="00723562" w:rsidRPr="000E1168" w:rsidTr="00CB45C6">
        <w:trPr>
          <w:jc w:val="center"/>
        </w:trPr>
        <w:tc>
          <w:tcPr>
            <w:tcW w:w="2140" w:type="dxa"/>
            <w:vMerge/>
            <w:tcBorders>
              <w:top w:val="nil"/>
              <w:left w:val="nil"/>
              <w:bottom w:val="nil"/>
              <w:right w:val="nil"/>
            </w:tcBorders>
            <w:shd w:val="clear" w:color="auto" w:fill="auto"/>
          </w:tcPr>
          <w:p w:rsidR="00723562" w:rsidRPr="000E1168" w:rsidRDefault="00723562" w:rsidP="00CB45C6">
            <w:pPr>
              <w:spacing w:before="40" w:after="40"/>
              <w:jc w:val="both"/>
              <w:rPr>
                <w:sz w:val="20"/>
                <w:szCs w:val="20"/>
              </w:rPr>
            </w:pPr>
          </w:p>
        </w:tc>
        <w:tc>
          <w:tcPr>
            <w:tcW w:w="1701" w:type="dxa"/>
            <w:tcBorders>
              <w:top w:val="nil"/>
              <w:left w:val="nil"/>
              <w:bottom w:val="nil"/>
              <w:right w:val="nil"/>
            </w:tcBorders>
            <w:shd w:val="clear" w:color="auto" w:fill="auto"/>
          </w:tcPr>
          <w:p w:rsidR="00723562" w:rsidRPr="000E1168" w:rsidRDefault="00723562" w:rsidP="00CB45C6">
            <w:pPr>
              <w:spacing w:before="40" w:after="40"/>
              <w:jc w:val="both"/>
              <w:rPr>
                <w:color w:val="C00000"/>
                <w:sz w:val="20"/>
                <w:szCs w:val="20"/>
              </w:rPr>
            </w:pPr>
            <w:r w:rsidRPr="000E1168">
              <w:rPr>
                <w:sz w:val="20"/>
                <w:szCs w:val="20"/>
              </w:rPr>
              <w:t>Eloy Alfaro</w:t>
            </w:r>
          </w:p>
        </w:tc>
        <w:tc>
          <w:tcPr>
            <w:tcW w:w="698"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0</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0</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1</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1.1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4</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4.1</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5</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5.1</w:t>
            </w:r>
          </w:p>
        </w:tc>
      </w:tr>
      <w:tr w:rsidR="00723562" w:rsidRPr="000E1168" w:rsidTr="00CB45C6">
        <w:trPr>
          <w:jc w:val="center"/>
        </w:trPr>
        <w:tc>
          <w:tcPr>
            <w:tcW w:w="2140" w:type="dxa"/>
            <w:vMerge/>
            <w:tcBorders>
              <w:top w:val="nil"/>
              <w:left w:val="nil"/>
              <w:bottom w:val="nil"/>
              <w:right w:val="nil"/>
            </w:tcBorders>
            <w:shd w:val="clear" w:color="auto" w:fill="auto"/>
          </w:tcPr>
          <w:p w:rsidR="00723562" w:rsidRPr="000E1168" w:rsidRDefault="00723562" w:rsidP="00CB45C6">
            <w:pPr>
              <w:spacing w:before="40" w:after="40"/>
              <w:jc w:val="both"/>
              <w:rPr>
                <w:sz w:val="20"/>
                <w:szCs w:val="20"/>
              </w:rPr>
            </w:pPr>
          </w:p>
        </w:tc>
        <w:tc>
          <w:tcPr>
            <w:tcW w:w="1701" w:type="dxa"/>
            <w:tcBorders>
              <w:top w:val="nil"/>
              <w:left w:val="nil"/>
              <w:bottom w:val="nil"/>
              <w:right w:val="nil"/>
            </w:tcBorders>
            <w:shd w:val="clear" w:color="auto" w:fill="auto"/>
          </w:tcPr>
          <w:p w:rsidR="00723562" w:rsidRPr="000E1168" w:rsidRDefault="00723562" w:rsidP="00CB45C6">
            <w:pPr>
              <w:spacing w:before="40" w:after="40"/>
              <w:jc w:val="both"/>
              <w:rPr>
                <w:color w:val="C00000"/>
                <w:sz w:val="20"/>
                <w:szCs w:val="20"/>
              </w:rPr>
            </w:pPr>
            <w:r w:rsidRPr="000E1168">
              <w:rPr>
                <w:sz w:val="20"/>
                <w:szCs w:val="20"/>
              </w:rPr>
              <w:t>Tarqui</w:t>
            </w:r>
          </w:p>
        </w:tc>
        <w:tc>
          <w:tcPr>
            <w:tcW w:w="698"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1</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1.1</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5</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5.1</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5</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5.1</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11</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11.2</w:t>
            </w:r>
          </w:p>
        </w:tc>
      </w:tr>
      <w:tr w:rsidR="00723562" w:rsidRPr="000E1168" w:rsidTr="00CB45C6">
        <w:trPr>
          <w:jc w:val="center"/>
        </w:trPr>
        <w:tc>
          <w:tcPr>
            <w:tcW w:w="2140" w:type="dxa"/>
            <w:vMerge/>
            <w:tcBorders>
              <w:top w:val="nil"/>
              <w:left w:val="nil"/>
              <w:bottom w:val="nil"/>
              <w:right w:val="nil"/>
            </w:tcBorders>
            <w:shd w:val="clear" w:color="auto" w:fill="auto"/>
          </w:tcPr>
          <w:p w:rsidR="00723562" w:rsidRPr="000E1168" w:rsidRDefault="00723562" w:rsidP="00CB45C6">
            <w:pPr>
              <w:spacing w:before="40" w:after="40"/>
              <w:jc w:val="both"/>
              <w:rPr>
                <w:sz w:val="20"/>
                <w:szCs w:val="20"/>
              </w:rPr>
            </w:pPr>
          </w:p>
        </w:tc>
        <w:tc>
          <w:tcPr>
            <w:tcW w:w="1701" w:type="dxa"/>
            <w:tcBorders>
              <w:top w:val="nil"/>
              <w:left w:val="nil"/>
              <w:bottom w:val="nil"/>
              <w:right w:val="nil"/>
            </w:tcBorders>
            <w:shd w:val="clear" w:color="auto" w:fill="auto"/>
          </w:tcPr>
          <w:p w:rsidR="00723562" w:rsidRPr="000E1168" w:rsidRDefault="00723562" w:rsidP="00CB45C6">
            <w:pPr>
              <w:spacing w:before="40" w:after="40"/>
              <w:jc w:val="both"/>
              <w:rPr>
                <w:sz w:val="20"/>
                <w:szCs w:val="20"/>
              </w:rPr>
            </w:pPr>
            <w:r w:rsidRPr="000E1168">
              <w:rPr>
                <w:sz w:val="20"/>
                <w:szCs w:val="20"/>
              </w:rPr>
              <w:t>Santa Marianita</w:t>
            </w:r>
          </w:p>
        </w:tc>
        <w:tc>
          <w:tcPr>
            <w:tcW w:w="698"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0</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0</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1</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1.1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0</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0</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1</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1.1</w:t>
            </w:r>
          </w:p>
        </w:tc>
      </w:tr>
      <w:tr w:rsidR="00723562" w:rsidRPr="000E1168" w:rsidTr="00CB45C6">
        <w:trPr>
          <w:jc w:val="center"/>
        </w:trPr>
        <w:tc>
          <w:tcPr>
            <w:tcW w:w="2140" w:type="dxa"/>
            <w:vMerge/>
            <w:tcBorders>
              <w:top w:val="nil"/>
              <w:left w:val="nil"/>
              <w:right w:val="nil"/>
            </w:tcBorders>
            <w:shd w:val="clear" w:color="auto" w:fill="auto"/>
          </w:tcPr>
          <w:p w:rsidR="00723562" w:rsidRPr="000E1168" w:rsidRDefault="00723562" w:rsidP="00CB45C6">
            <w:pPr>
              <w:spacing w:before="40" w:after="40"/>
              <w:jc w:val="both"/>
              <w:rPr>
                <w:sz w:val="20"/>
                <w:szCs w:val="20"/>
              </w:rPr>
            </w:pPr>
          </w:p>
        </w:tc>
        <w:tc>
          <w:tcPr>
            <w:tcW w:w="1701" w:type="dxa"/>
            <w:tcBorders>
              <w:top w:val="nil"/>
              <w:left w:val="nil"/>
              <w:right w:val="nil"/>
            </w:tcBorders>
            <w:shd w:val="clear" w:color="auto" w:fill="auto"/>
          </w:tcPr>
          <w:p w:rsidR="00723562" w:rsidRPr="000E1168" w:rsidRDefault="00723562" w:rsidP="00CB45C6">
            <w:pPr>
              <w:spacing w:before="40" w:after="40"/>
              <w:jc w:val="both"/>
              <w:rPr>
                <w:color w:val="000000"/>
                <w:sz w:val="20"/>
                <w:szCs w:val="20"/>
              </w:rPr>
            </w:pPr>
            <w:r w:rsidRPr="000E1168">
              <w:rPr>
                <w:color w:val="000000"/>
                <w:sz w:val="20"/>
                <w:szCs w:val="20"/>
              </w:rPr>
              <w:t>Montecristi</w:t>
            </w:r>
          </w:p>
        </w:tc>
        <w:tc>
          <w:tcPr>
            <w:tcW w:w="698" w:type="dxa"/>
            <w:tcBorders>
              <w:top w:val="nil"/>
              <w:left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0</w:t>
            </w:r>
          </w:p>
        </w:tc>
        <w:tc>
          <w:tcPr>
            <w:tcW w:w="699" w:type="dxa"/>
            <w:tcBorders>
              <w:top w:val="nil"/>
              <w:left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0</w:t>
            </w:r>
          </w:p>
        </w:tc>
        <w:tc>
          <w:tcPr>
            <w:tcW w:w="699" w:type="dxa"/>
            <w:tcBorders>
              <w:top w:val="nil"/>
              <w:left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0</w:t>
            </w:r>
          </w:p>
        </w:tc>
        <w:tc>
          <w:tcPr>
            <w:tcW w:w="699" w:type="dxa"/>
            <w:tcBorders>
              <w:top w:val="nil"/>
              <w:left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0</w:t>
            </w:r>
          </w:p>
        </w:tc>
        <w:tc>
          <w:tcPr>
            <w:tcW w:w="699" w:type="dxa"/>
            <w:tcBorders>
              <w:top w:val="nil"/>
              <w:left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4</w:t>
            </w:r>
          </w:p>
        </w:tc>
        <w:tc>
          <w:tcPr>
            <w:tcW w:w="699" w:type="dxa"/>
            <w:tcBorders>
              <w:top w:val="nil"/>
              <w:left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4.1</w:t>
            </w:r>
          </w:p>
        </w:tc>
        <w:tc>
          <w:tcPr>
            <w:tcW w:w="699" w:type="dxa"/>
            <w:tcBorders>
              <w:top w:val="nil"/>
              <w:left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4.</w:t>
            </w:r>
          </w:p>
        </w:tc>
        <w:tc>
          <w:tcPr>
            <w:tcW w:w="699" w:type="dxa"/>
            <w:tcBorders>
              <w:top w:val="nil"/>
              <w:left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4.1</w:t>
            </w:r>
          </w:p>
        </w:tc>
      </w:tr>
      <w:tr w:rsidR="00723562" w:rsidRPr="000E1168" w:rsidTr="00CB45C6">
        <w:trPr>
          <w:jc w:val="center"/>
        </w:trPr>
        <w:tc>
          <w:tcPr>
            <w:tcW w:w="2140" w:type="dxa"/>
            <w:vMerge w:val="restart"/>
            <w:tcBorders>
              <w:left w:val="nil"/>
              <w:right w:val="nil"/>
            </w:tcBorders>
            <w:shd w:val="clear" w:color="auto" w:fill="auto"/>
          </w:tcPr>
          <w:p w:rsidR="00723562" w:rsidRPr="000E1168" w:rsidRDefault="00723562" w:rsidP="00CB45C6">
            <w:pPr>
              <w:spacing w:before="40" w:after="40"/>
              <w:jc w:val="both"/>
              <w:rPr>
                <w:sz w:val="20"/>
                <w:szCs w:val="20"/>
              </w:rPr>
            </w:pPr>
          </w:p>
          <w:p w:rsidR="00723562" w:rsidRPr="000E1168" w:rsidRDefault="00723562" w:rsidP="00CB45C6">
            <w:pPr>
              <w:spacing w:before="40" w:after="40"/>
              <w:jc w:val="both"/>
              <w:rPr>
                <w:sz w:val="20"/>
                <w:szCs w:val="20"/>
              </w:rPr>
            </w:pPr>
          </w:p>
          <w:p w:rsidR="00723562" w:rsidRPr="000E1168" w:rsidRDefault="00723562" w:rsidP="00CB45C6">
            <w:pPr>
              <w:spacing w:before="40" w:after="40"/>
              <w:jc w:val="both"/>
              <w:rPr>
                <w:sz w:val="20"/>
                <w:szCs w:val="20"/>
              </w:rPr>
            </w:pPr>
            <w:r w:rsidRPr="000E1168">
              <w:rPr>
                <w:sz w:val="20"/>
                <w:szCs w:val="20"/>
              </w:rPr>
              <w:t>Etnia</w:t>
            </w:r>
          </w:p>
        </w:tc>
        <w:tc>
          <w:tcPr>
            <w:tcW w:w="1701" w:type="dxa"/>
            <w:tcBorders>
              <w:left w:val="nil"/>
              <w:bottom w:val="nil"/>
              <w:right w:val="nil"/>
            </w:tcBorders>
            <w:shd w:val="clear" w:color="auto" w:fill="auto"/>
          </w:tcPr>
          <w:p w:rsidR="00723562" w:rsidRPr="000E1168" w:rsidRDefault="00723562" w:rsidP="00CB45C6">
            <w:pPr>
              <w:spacing w:before="40" w:after="40"/>
              <w:jc w:val="both"/>
              <w:rPr>
                <w:sz w:val="20"/>
                <w:szCs w:val="20"/>
              </w:rPr>
            </w:pPr>
            <w:r w:rsidRPr="000E1168">
              <w:rPr>
                <w:sz w:val="20"/>
                <w:szCs w:val="20"/>
              </w:rPr>
              <w:t>Blanca</w:t>
            </w:r>
          </w:p>
        </w:tc>
        <w:tc>
          <w:tcPr>
            <w:tcW w:w="698" w:type="dxa"/>
            <w:tcBorders>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2</w:t>
            </w:r>
          </w:p>
        </w:tc>
        <w:tc>
          <w:tcPr>
            <w:tcW w:w="699" w:type="dxa"/>
            <w:tcBorders>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2.1</w:t>
            </w:r>
          </w:p>
        </w:tc>
        <w:tc>
          <w:tcPr>
            <w:tcW w:w="699" w:type="dxa"/>
            <w:tcBorders>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2</w:t>
            </w:r>
          </w:p>
        </w:tc>
        <w:tc>
          <w:tcPr>
            <w:tcW w:w="699" w:type="dxa"/>
            <w:tcBorders>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2.1</w:t>
            </w:r>
          </w:p>
        </w:tc>
        <w:tc>
          <w:tcPr>
            <w:tcW w:w="699" w:type="dxa"/>
            <w:tcBorders>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11</w:t>
            </w:r>
          </w:p>
        </w:tc>
        <w:tc>
          <w:tcPr>
            <w:tcW w:w="699" w:type="dxa"/>
            <w:tcBorders>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11.2</w:t>
            </w:r>
          </w:p>
        </w:tc>
        <w:tc>
          <w:tcPr>
            <w:tcW w:w="699" w:type="dxa"/>
            <w:tcBorders>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15</w:t>
            </w:r>
          </w:p>
        </w:tc>
        <w:tc>
          <w:tcPr>
            <w:tcW w:w="699" w:type="dxa"/>
            <w:tcBorders>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15.3</w:t>
            </w:r>
          </w:p>
        </w:tc>
      </w:tr>
      <w:tr w:rsidR="00723562" w:rsidRPr="000E1168" w:rsidTr="00CB45C6">
        <w:trPr>
          <w:jc w:val="center"/>
        </w:trPr>
        <w:tc>
          <w:tcPr>
            <w:tcW w:w="2140" w:type="dxa"/>
            <w:vMerge/>
            <w:tcBorders>
              <w:left w:val="nil"/>
              <w:right w:val="nil"/>
            </w:tcBorders>
            <w:shd w:val="clear" w:color="auto" w:fill="auto"/>
          </w:tcPr>
          <w:p w:rsidR="00723562" w:rsidRPr="000E1168" w:rsidRDefault="00723562" w:rsidP="00CB45C6">
            <w:pPr>
              <w:spacing w:before="40" w:after="40"/>
              <w:jc w:val="both"/>
              <w:rPr>
                <w:sz w:val="20"/>
                <w:szCs w:val="20"/>
              </w:rPr>
            </w:pPr>
          </w:p>
        </w:tc>
        <w:tc>
          <w:tcPr>
            <w:tcW w:w="1701" w:type="dxa"/>
            <w:tcBorders>
              <w:top w:val="nil"/>
              <w:left w:val="nil"/>
              <w:bottom w:val="nil"/>
              <w:right w:val="nil"/>
            </w:tcBorders>
            <w:shd w:val="clear" w:color="auto" w:fill="auto"/>
          </w:tcPr>
          <w:p w:rsidR="00723562" w:rsidRPr="000E1168" w:rsidRDefault="00723562" w:rsidP="00CB45C6">
            <w:pPr>
              <w:spacing w:before="40" w:after="40"/>
              <w:jc w:val="both"/>
              <w:rPr>
                <w:sz w:val="20"/>
                <w:szCs w:val="20"/>
              </w:rPr>
            </w:pPr>
            <w:r w:rsidRPr="000E1168">
              <w:rPr>
                <w:sz w:val="20"/>
                <w:szCs w:val="20"/>
              </w:rPr>
              <w:t>Mestiza</w:t>
            </w:r>
          </w:p>
        </w:tc>
        <w:tc>
          <w:tcPr>
            <w:tcW w:w="698"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34</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34.7</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20</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20.4</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27</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27.5</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81</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82.7</w:t>
            </w:r>
          </w:p>
        </w:tc>
      </w:tr>
      <w:tr w:rsidR="00723562" w:rsidRPr="000E1168" w:rsidTr="00CB45C6">
        <w:trPr>
          <w:jc w:val="center"/>
        </w:trPr>
        <w:tc>
          <w:tcPr>
            <w:tcW w:w="2140" w:type="dxa"/>
            <w:vMerge/>
            <w:tcBorders>
              <w:left w:val="nil"/>
              <w:bottom w:val="single" w:sz="4" w:space="0" w:color="auto"/>
              <w:right w:val="nil"/>
            </w:tcBorders>
            <w:shd w:val="clear" w:color="auto" w:fill="auto"/>
          </w:tcPr>
          <w:p w:rsidR="00723562" w:rsidRPr="000E1168" w:rsidRDefault="00723562" w:rsidP="00CB45C6">
            <w:pPr>
              <w:spacing w:before="40" w:after="40"/>
              <w:jc w:val="both"/>
              <w:rPr>
                <w:sz w:val="20"/>
                <w:szCs w:val="20"/>
              </w:rPr>
            </w:pPr>
          </w:p>
        </w:tc>
        <w:tc>
          <w:tcPr>
            <w:tcW w:w="1701" w:type="dxa"/>
            <w:tcBorders>
              <w:top w:val="nil"/>
              <w:left w:val="nil"/>
              <w:bottom w:val="single" w:sz="4" w:space="0" w:color="auto"/>
              <w:right w:val="nil"/>
            </w:tcBorders>
            <w:shd w:val="clear" w:color="auto" w:fill="auto"/>
          </w:tcPr>
          <w:p w:rsidR="00723562" w:rsidRPr="000E1168" w:rsidRDefault="00723562" w:rsidP="00CB45C6">
            <w:pPr>
              <w:spacing w:before="40" w:after="40"/>
              <w:jc w:val="both"/>
              <w:rPr>
                <w:sz w:val="20"/>
                <w:szCs w:val="20"/>
              </w:rPr>
            </w:pPr>
            <w:r w:rsidRPr="000E1168">
              <w:rPr>
                <w:sz w:val="20"/>
                <w:szCs w:val="20"/>
              </w:rPr>
              <w:t>Afroecuatoriana</w:t>
            </w:r>
          </w:p>
        </w:tc>
        <w:tc>
          <w:tcPr>
            <w:tcW w:w="698" w:type="dxa"/>
            <w:tcBorders>
              <w:top w:val="nil"/>
              <w:left w:val="nil"/>
              <w:bottom w:val="single" w:sz="4" w:space="0" w:color="auto"/>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2</w:t>
            </w:r>
          </w:p>
        </w:tc>
        <w:tc>
          <w:tcPr>
            <w:tcW w:w="699" w:type="dxa"/>
            <w:tcBorders>
              <w:top w:val="nil"/>
              <w:left w:val="nil"/>
              <w:bottom w:val="single" w:sz="4" w:space="0" w:color="auto"/>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2.1</w:t>
            </w:r>
          </w:p>
        </w:tc>
        <w:tc>
          <w:tcPr>
            <w:tcW w:w="699" w:type="dxa"/>
            <w:tcBorders>
              <w:top w:val="nil"/>
              <w:left w:val="nil"/>
              <w:bottom w:val="single" w:sz="4" w:space="0" w:color="auto"/>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0</w:t>
            </w:r>
          </w:p>
        </w:tc>
        <w:tc>
          <w:tcPr>
            <w:tcW w:w="699" w:type="dxa"/>
            <w:tcBorders>
              <w:top w:val="nil"/>
              <w:left w:val="nil"/>
              <w:bottom w:val="single" w:sz="4" w:space="0" w:color="auto"/>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0</w:t>
            </w:r>
          </w:p>
        </w:tc>
        <w:tc>
          <w:tcPr>
            <w:tcW w:w="699" w:type="dxa"/>
            <w:tcBorders>
              <w:top w:val="nil"/>
              <w:left w:val="nil"/>
              <w:bottom w:val="single" w:sz="4" w:space="0" w:color="auto"/>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0</w:t>
            </w:r>
          </w:p>
        </w:tc>
        <w:tc>
          <w:tcPr>
            <w:tcW w:w="699" w:type="dxa"/>
            <w:tcBorders>
              <w:top w:val="nil"/>
              <w:left w:val="nil"/>
              <w:bottom w:val="single" w:sz="4" w:space="0" w:color="auto"/>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0</w:t>
            </w:r>
          </w:p>
        </w:tc>
        <w:tc>
          <w:tcPr>
            <w:tcW w:w="699" w:type="dxa"/>
            <w:tcBorders>
              <w:top w:val="nil"/>
              <w:left w:val="nil"/>
              <w:bottom w:val="single" w:sz="4" w:space="0" w:color="auto"/>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2</w:t>
            </w:r>
          </w:p>
        </w:tc>
        <w:tc>
          <w:tcPr>
            <w:tcW w:w="699" w:type="dxa"/>
            <w:tcBorders>
              <w:top w:val="nil"/>
              <w:left w:val="nil"/>
              <w:bottom w:val="single" w:sz="4" w:space="0" w:color="auto"/>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2.1</w:t>
            </w:r>
          </w:p>
        </w:tc>
      </w:tr>
      <w:tr w:rsidR="00723562" w:rsidRPr="000E1168" w:rsidTr="00CB45C6">
        <w:trPr>
          <w:jc w:val="center"/>
        </w:trPr>
        <w:tc>
          <w:tcPr>
            <w:tcW w:w="9432" w:type="dxa"/>
            <w:gridSpan w:val="10"/>
            <w:tcBorders>
              <w:left w:val="nil"/>
              <w:bottom w:val="nil"/>
              <w:right w:val="nil"/>
            </w:tcBorders>
            <w:shd w:val="clear" w:color="auto" w:fill="auto"/>
          </w:tcPr>
          <w:p w:rsidR="00723562" w:rsidRPr="000E1168" w:rsidRDefault="00723562" w:rsidP="00CB45C6">
            <w:pPr>
              <w:spacing w:before="40" w:after="40"/>
              <w:jc w:val="both"/>
              <w:rPr>
                <w:color w:val="C00000"/>
                <w:sz w:val="20"/>
                <w:szCs w:val="20"/>
              </w:rPr>
            </w:pPr>
          </w:p>
        </w:tc>
      </w:tr>
    </w:tbl>
    <w:p w:rsidR="00BB114E" w:rsidRPr="00723562" w:rsidRDefault="00500D1B" w:rsidP="0000602F">
      <w:pPr>
        <w:spacing w:line="360" w:lineRule="auto"/>
        <w:jc w:val="both"/>
      </w:pPr>
      <w:r w:rsidRPr="00723562">
        <w:t>En el análisis de la estructura familiar de los participantes, se observa que el 68.4% convive con ambos padres y uno o más hermanos, el 10.2% convive con la madre y uno o más hermanos, el 3.1% con la madre, el padrastro y hermanos, el 10.2% con la madre, hermanos y otros parientes, el 3.1% con el padre y uno o más hermanos, el 1.1% con el padre, la madrastra y hermanos, el 2.1% con el padre, hermanos y otros parientes, y el 2.1% convive con los abuelos, hermanos y otros parientes.</w:t>
      </w:r>
    </w:p>
    <w:p w:rsidR="00DC0BD3" w:rsidRPr="00723562" w:rsidRDefault="00DC0BD3" w:rsidP="0000602F">
      <w:pPr>
        <w:spacing w:line="360" w:lineRule="auto"/>
        <w:jc w:val="both"/>
      </w:pPr>
      <w:r w:rsidRPr="00723562">
        <w:t>El nivel socioeconómico del 30.6% de los participantes es alto, el 35.7% registra nivel socioeconómico medio, mientras en 33.7% regi</w:t>
      </w:r>
      <w:r w:rsidR="000657CC" w:rsidRPr="00723562">
        <w:t>stra nivel socioeconómico bajo.</w:t>
      </w:r>
    </w:p>
    <w:p w:rsidR="00DC0BD3" w:rsidRPr="00723562" w:rsidRDefault="00DC0BD3" w:rsidP="0000602F">
      <w:pPr>
        <w:spacing w:line="360" w:lineRule="auto"/>
        <w:jc w:val="both"/>
      </w:pPr>
      <w:r w:rsidRPr="00723562">
        <w:lastRenderedPageBreak/>
        <w:t>El 18.4% de las madres son profesionales, el 13, 3% son comerciantes, el 44.9% son ejecutivas del hogar (amas de casa), el 6.1% son funcionarias públicas, el 6.1% empleadas privadas, el 1.1% empleadas domésticas, el 6.1% registra oficios propios, en tanto el 4.1% de las madres registran ser estudiantes universitarias.</w:t>
      </w:r>
    </w:p>
    <w:p w:rsidR="00500D1B" w:rsidRPr="00723562" w:rsidRDefault="00500D1B" w:rsidP="0000602F">
      <w:pPr>
        <w:spacing w:line="360" w:lineRule="auto"/>
        <w:jc w:val="both"/>
      </w:pPr>
      <w:r w:rsidRPr="00723562">
        <w:t>Los padres profesionales ascienden al 25.5%, el 15.3% de los padres son comerciantes, el 12.2% son empleados privados, el 7.1% son empleados públicos, el 17.3% registran un oficio propio, el 11.2% son choferes profesionales, el 9.2% son pescadores, y el 2.1% son estudiantes universitarios.</w:t>
      </w:r>
    </w:p>
    <w:p w:rsidR="00500D1B" w:rsidRPr="00723562" w:rsidRDefault="00500D1B" w:rsidP="0000602F">
      <w:pPr>
        <w:spacing w:line="360" w:lineRule="auto"/>
        <w:jc w:val="both"/>
      </w:pPr>
      <w:r w:rsidRPr="00723562">
        <w:t>En el 42.9% de las madres se registró tercer nivel de escolaridad, en el 36.7% segundo nivel, en tanto en el 20.4% se registró primer nivel de escolaridad. En el caso de los padres, se registró el cuarto nivel en el 3.1% de los casos, el 38.8% registró segundo nivel, el 37.8% segundo nivel, mientras el 20.4% registró solo un primer nivel de escolaridad.</w:t>
      </w:r>
    </w:p>
    <w:tbl>
      <w:tblPr>
        <w:tblW w:w="9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843"/>
        <w:gridCol w:w="698"/>
        <w:gridCol w:w="699"/>
        <w:gridCol w:w="699"/>
        <w:gridCol w:w="699"/>
        <w:gridCol w:w="699"/>
        <w:gridCol w:w="699"/>
        <w:gridCol w:w="699"/>
        <w:gridCol w:w="699"/>
      </w:tblGrid>
      <w:tr w:rsidR="00723562" w:rsidRPr="000E1168" w:rsidTr="00CB45C6">
        <w:trPr>
          <w:jc w:val="center"/>
        </w:trPr>
        <w:tc>
          <w:tcPr>
            <w:tcW w:w="9432" w:type="dxa"/>
            <w:gridSpan w:val="10"/>
            <w:tcBorders>
              <w:top w:val="nil"/>
              <w:left w:val="nil"/>
              <w:right w:val="nil"/>
            </w:tcBorders>
            <w:shd w:val="clear" w:color="auto" w:fill="auto"/>
          </w:tcPr>
          <w:p w:rsidR="00723562" w:rsidRPr="000E1168" w:rsidRDefault="00723562" w:rsidP="00CB45C6">
            <w:pPr>
              <w:spacing w:before="240" w:after="120"/>
              <w:jc w:val="both"/>
              <w:rPr>
                <w:color w:val="000000"/>
                <w:sz w:val="22"/>
                <w:szCs w:val="22"/>
              </w:rPr>
            </w:pPr>
            <w:r w:rsidRPr="000E1168">
              <w:rPr>
                <w:b/>
                <w:color w:val="000000"/>
                <w:sz w:val="22"/>
                <w:szCs w:val="22"/>
              </w:rPr>
              <w:t>Tabla 5.</w:t>
            </w:r>
            <w:r w:rsidRPr="000E1168">
              <w:rPr>
                <w:color w:val="000000"/>
                <w:sz w:val="22"/>
                <w:szCs w:val="22"/>
              </w:rPr>
              <w:t xml:space="preserve"> Distribución de participantes por Unidades Educativas, según estructura familiar, nivel socioeconómico, ocupación de la madre, ocupación del padre, nivel escolar de la madre, y nivel escolar del padre.</w:t>
            </w:r>
          </w:p>
        </w:tc>
      </w:tr>
      <w:tr w:rsidR="00723562" w:rsidRPr="000E1168" w:rsidTr="00CB45C6">
        <w:trPr>
          <w:jc w:val="center"/>
        </w:trPr>
        <w:tc>
          <w:tcPr>
            <w:tcW w:w="1998" w:type="dxa"/>
            <w:vMerge w:val="restart"/>
            <w:tcBorders>
              <w:left w:val="nil"/>
              <w:right w:val="nil"/>
            </w:tcBorders>
            <w:shd w:val="clear" w:color="auto" w:fill="auto"/>
          </w:tcPr>
          <w:p w:rsidR="00723562" w:rsidRPr="000E1168" w:rsidRDefault="00723562" w:rsidP="00CB45C6">
            <w:pPr>
              <w:spacing w:before="60" w:after="60"/>
              <w:jc w:val="center"/>
              <w:rPr>
                <w:b/>
                <w:color w:val="000000"/>
                <w:sz w:val="20"/>
                <w:szCs w:val="20"/>
              </w:rPr>
            </w:pPr>
            <w:r w:rsidRPr="000E1168">
              <w:rPr>
                <w:b/>
                <w:color w:val="000000"/>
                <w:sz w:val="20"/>
                <w:szCs w:val="20"/>
              </w:rPr>
              <w:t>Variables</w:t>
            </w:r>
          </w:p>
          <w:p w:rsidR="00723562" w:rsidRPr="000E1168" w:rsidRDefault="00723562" w:rsidP="00CB45C6">
            <w:pPr>
              <w:spacing w:before="60" w:after="60"/>
              <w:jc w:val="center"/>
              <w:rPr>
                <w:b/>
                <w:color w:val="000000"/>
                <w:sz w:val="20"/>
                <w:szCs w:val="20"/>
              </w:rPr>
            </w:pPr>
            <w:r w:rsidRPr="000E1168">
              <w:rPr>
                <w:b/>
                <w:color w:val="000000"/>
                <w:sz w:val="20"/>
                <w:szCs w:val="20"/>
              </w:rPr>
              <w:t>Sociodemográficas</w:t>
            </w:r>
          </w:p>
        </w:tc>
        <w:tc>
          <w:tcPr>
            <w:tcW w:w="1843" w:type="dxa"/>
            <w:vMerge w:val="restart"/>
            <w:tcBorders>
              <w:left w:val="nil"/>
              <w:right w:val="nil"/>
            </w:tcBorders>
            <w:shd w:val="clear" w:color="auto" w:fill="auto"/>
          </w:tcPr>
          <w:p w:rsidR="00723562" w:rsidRPr="000E1168" w:rsidRDefault="00723562" w:rsidP="00CB45C6">
            <w:pPr>
              <w:spacing w:before="60" w:after="60"/>
              <w:jc w:val="center"/>
              <w:rPr>
                <w:b/>
                <w:color w:val="000000"/>
                <w:sz w:val="20"/>
                <w:szCs w:val="20"/>
              </w:rPr>
            </w:pPr>
          </w:p>
          <w:p w:rsidR="00723562" w:rsidRPr="000E1168" w:rsidRDefault="00723562" w:rsidP="00CB45C6">
            <w:pPr>
              <w:spacing w:before="60" w:after="60"/>
              <w:jc w:val="center"/>
              <w:rPr>
                <w:b/>
                <w:color w:val="000000"/>
                <w:sz w:val="20"/>
                <w:szCs w:val="20"/>
              </w:rPr>
            </w:pPr>
            <w:r w:rsidRPr="000E1168">
              <w:rPr>
                <w:b/>
                <w:color w:val="000000"/>
                <w:sz w:val="20"/>
                <w:szCs w:val="20"/>
              </w:rPr>
              <w:t>Categorías</w:t>
            </w:r>
          </w:p>
        </w:tc>
        <w:tc>
          <w:tcPr>
            <w:tcW w:w="1397" w:type="dxa"/>
            <w:gridSpan w:val="2"/>
            <w:tcBorders>
              <w:left w:val="nil"/>
              <w:bottom w:val="single" w:sz="4" w:space="0" w:color="auto"/>
              <w:right w:val="nil"/>
            </w:tcBorders>
            <w:shd w:val="clear" w:color="auto" w:fill="auto"/>
          </w:tcPr>
          <w:p w:rsidR="00723562" w:rsidRPr="000E1168" w:rsidRDefault="00723562" w:rsidP="00CB45C6">
            <w:pPr>
              <w:spacing w:before="60" w:after="60"/>
              <w:ind w:right="-128" w:hanging="108"/>
              <w:jc w:val="center"/>
              <w:rPr>
                <w:color w:val="000000"/>
                <w:sz w:val="20"/>
                <w:szCs w:val="20"/>
              </w:rPr>
            </w:pPr>
            <w:r w:rsidRPr="000E1168">
              <w:rPr>
                <w:color w:val="000000"/>
                <w:sz w:val="20"/>
                <w:szCs w:val="20"/>
              </w:rPr>
              <w:t>4 de Noviembre</w:t>
            </w:r>
          </w:p>
        </w:tc>
        <w:tc>
          <w:tcPr>
            <w:tcW w:w="1398" w:type="dxa"/>
            <w:gridSpan w:val="2"/>
            <w:tcBorders>
              <w:left w:val="nil"/>
              <w:bottom w:val="single" w:sz="4" w:space="0" w:color="auto"/>
              <w:right w:val="nil"/>
            </w:tcBorders>
            <w:shd w:val="clear" w:color="auto" w:fill="auto"/>
          </w:tcPr>
          <w:p w:rsidR="00723562" w:rsidRPr="000E1168" w:rsidRDefault="00723562" w:rsidP="00CB45C6">
            <w:pPr>
              <w:spacing w:before="60" w:after="60"/>
              <w:jc w:val="center"/>
              <w:rPr>
                <w:color w:val="000000"/>
                <w:sz w:val="20"/>
                <w:szCs w:val="20"/>
              </w:rPr>
            </w:pPr>
            <w:r w:rsidRPr="000E1168">
              <w:rPr>
                <w:color w:val="000000"/>
                <w:sz w:val="20"/>
                <w:szCs w:val="20"/>
              </w:rPr>
              <w:t>José Peralta</w:t>
            </w:r>
          </w:p>
        </w:tc>
        <w:tc>
          <w:tcPr>
            <w:tcW w:w="1398" w:type="dxa"/>
            <w:gridSpan w:val="2"/>
            <w:tcBorders>
              <w:left w:val="nil"/>
              <w:bottom w:val="single" w:sz="4" w:space="0" w:color="auto"/>
              <w:right w:val="nil"/>
            </w:tcBorders>
            <w:shd w:val="clear" w:color="auto" w:fill="auto"/>
          </w:tcPr>
          <w:p w:rsidR="00723562" w:rsidRPr="000E1168" w:rsidRDefault="00723562" w:rsidP="00CB45C6">
            <w:pPr>
              <w:spacing w:before="60" w:after="60"/>
              <w:jc w:val="center"/>
              <w:rPr>
                <w:color w:val="000000"/>
                <w:sz w:val="20"/>
                <w:szCs w:val="20"/>
              </w:rPr>
            </w:pPr>
            <w:r w:rsidRPr="000E1168">
              <w:rPr>
                <w:color w:val="000000"/>
                <w:sz w:val="20"/>
                <w:szCs w:val="20"/>
              </w:rPr>
              <w:t>Israel</w:t>
            </w:r>
          </w:p>
        </w:tc>
        <w:tc>
          <w:tcPr>
            <w:tcW w:w="1398" w:type="dxa"/>
            <w:gridSpan w:val="2"/>
            <w:tcBorders>
              <w:left w:val="nil"/>
              <w:bottom w:val="single" w:sz="4" w:space="0" w:color="auto"/>
              <w:right w:val="nil"/>
            </w:tcBorders>
            <w:shd w:val="clear" w:color="auto" w:fill="auto"/>
          </w:tcPr>
          <w:p w:rsidR="00723562" w:rsidRPr="000E1168" w:rsidRDefault="00723562" w:rsidP="00CB45C6">
            <w:pPr>
              <w:spacing w:before="60" w:after="60"/>
              <w:jc w:val="center"/>
              <w:rPr>
                <w:color w:val="000000"/>
                <w:sz w:val="20"/>
                <w:szCs w:val="20"/>
              </w:rPr>
            </w:pPr>
            <w:r w:rsidRPr="000E1168">
              <w:rPr>
                <w:color w:val="000000"/>
                <w:sz w:val="20"/>
                <w:szCs w:val="20"/>
              </w:rPr>
              <w:t>Total</w:t>
            </w:r>
          </w:p>
        </w:tc>
      </w:tr>
      <w:tr w:rsidR="00723562" w:rsidRPr="000E1168" w:rsidTr="00CB45C6">
        <w:trPr>
          <w:jc w:val="center"/>
        </w:trPr>
        <w:tc>
          <w:tcPr>
            <w:tcW w:w="1998" w:type="dxa"/>
            <w:vMerge/>
            <w:tcBorders>
              <w:top w:val="nil"/>
              <w:left w:val="nil"/>
              <w:bottom w:val="single" w:sz="4" w:space="0" w:color="auto"/>
              <w:right w:val="nil"/>
            </w:tcBorders>
            <w:shd w:val="clear" w:color="auto" w:fill="auto"/>
          </w:tcPr>
          <w:p w:rsidR="00723562" w:rsidRPr="000E1168" w:rsidRDefault="00723562" w:rsidP="00CB45C6">
            <w:pPr>
              <w:spacing w:before="60" w:after="60"/>
              <w:jc w:val="both"/>
              <w:rPr>
                <w:color w:val="000000"/>
                <w:sz w:val="20"/>
                <w:szCs w:val="20"/>
              </w:rPr>
            </w:pPr>
          </w:p>
        </w:tc>
        <w:tc>
          <w:tcPr>
            <w:tcW w:w="1843" w:type="dxa"/>
            <w:vMerge/>
            <w:tcBorders>
              <w:top w:val="nil"/>
              <w:left w:val="nil"/>
              <w:bottom w:val="single" w:sz="4" w:space="0" w:color="auto"/>
              <w:right w:val="nil"/>
            </w:tcBorders>
            <w:shd w:val="clear" w:color="auto" w:fill="auto"/>
          </w:tcPr>
          <w:p w:rsidR="00723562" w:rsidRPr="000E1168" w:rsidRDefault="00723562" w:rsidP="00CB45C6">
            <w:pPr>
              <w:spacing w:before="60" w:after="60"/>
              <w:jc w:val="center"/>
              <w:rPr>
                <w:color w:val="000000"/>
                <w:sz w:val="20"/>
                <w:szCs w:val="20"/>
              </w:rPr>
            </w:pPr>
          </w:p>
        </w:tc>
        <w:tc>
          <w:tcPr>
            <w:tcW w:w="698" w:type="dxa"/>
            <w:tcBorders>
              <w:left w:val="nil"/>
              <w:bottom w:val="single" w:sz="4" w:space="0" w:color="auto"/>
              <w:right w:val="nil"/>
            </w:tcBorders>
            <w:shd w:val="clear" w:color="auto" w:fill="auto"/>
          </w:tcPr>
          <w:p w:rsidR="00723562" w:rsidRPr="000E1168" w:rsidRDefault="00723562" w:rsidP="00CB45C6">
            <w:pPr>
              <w:spacing w:before="60" w:after="60"/>
              <w:jc w:val="center"/>
              <w:rPr>
                <w:b/>
                <w:color w:val="000000"/>
                <w:sz w:val="20"/>
                <w:szCs w:val="20"/>
              </w:rPr>
            </w:pPr>
            <w:r w:rsidRPr="000E1168">
              <w:rPr>
                <w:b/>
                <w:color w:val="000000"/>
                <w:sz w:val="20"/>
                <w:szCs w:val="20"/>
              </w:rPr>
              <w:t>No</w:t>
            </w:r>
          </w:p>
        </w:tc>
        <w:tc>
          <w:tcPr>
            <w:tcW w:w="699" w:type="dxa"/>
            <w:tcBorders>
              <w:left w:val="nil"/>
              <w:bottom w:val="single" w:sz="4" w:space="0" w:color="auto"/>
              <w:right w:val="nil"/>
            </w:tcBorders>
            <w:shd w:val="clear" w:color="auto" w:fill="auto"/>
          </w:tcPr>
          <w:p w:rsidR="00723562" w:rsidRPr="000E1168" w:rsidRDefault="00723562" w:rsidP="00CB45C6">
            <w:pPr>
              <w:spacing w:before="60" w:after="60"/>
              <w:jc w:val="center"/>
              <w:rPr>
                <w:b/>
                <w:color w:val="000000"/>
                <w:sz w:val="20"/>
                <w:szCs w:val="20"/>
              </w:rPr>
            </w:pPr>
            <w:r w:rsidRPr="000E1168">
              <w:rPr>
                <w:b/>
                <w:color w:val="000000"/>
                <w:sz w:val="20"/>
                <w:szCs w:val="20"/>
              </w:rPr>
              <w:t>%</w:t>
            </w:r>
          </w:p>
        </w:tc>
        <w:tc>
          <w:tcPr>
            <w:tcW w:w="699" w:type="dxa"/>
            <w:tcBorders>
              <w:left w:val="nil"/>
              <w:bottom w:val="single" w:sz="4" w:space="0" w:color="auto"/>
              <w:right w:val="nil"/>
            </w:tcBorders>
            <w:shd w:val="clear" w:color="auto" w:fill="auto"/>
          </w:tcPr>
          <w:p w:rsidR="00723562" w:rsidRPr="000E1168" w:rsidRDefault="00723562" w:rsidP="00CB45C6">
            <w:pPr>
              <w:spacing w:before="60" w:after="60"/>
              <w:jc w:val="center"/>
              <w:rPr>
                <w:b/>
                <w:color w:val="000000"/>
                <w:sz w:val="20"/>
                <w:szCs w:val="20"/>
              </w:rPr>
            </w:pPr>
            <w:r w:rsidRPr="000E1168">
              <w:rPr>
                <w:b/>
                <w:color w:val="000000"/>
                <w:sz w:val="20"/>
                <w:szCs w:val="20"/>
              </w:rPr>
              <w:t>No</w:t>
            </w:r>
          </w:p>
        </w:tc>
        <w:tc>
          <w:tcPr>
            <w:tcW w:w="699" w:type="dxa"/>
            <w:tcBorders>
              <w:left w:val="nil"/>
              <w:bottom w:val="single" w:sz="4" w:space="0" w:color="auto"/>
              <w:right w:val="nil"/>
            </w:tcBorders>
            <w:shd w:val="clear" w:color="auto" w:fill="auto"/>
          </w:tcPr>
          <w:p w:rsidR="00723562" w:rsidRPr="000E1168" w:rsidRDefault="00723562" w:rsidP="00CB45C6">
            <w:pPr>
              <w:spacing w:before="60" w:after="60"/>
              <w:jc w:val="center"/>
              <w:rPr>
                <w:b/>
                <w:color w:val="000000"/>
                <w:sz w:val="20"/>
                <w:szCs w:val="20"/>
              </w:rPr>
            </w:pPr>
            <w:r w:rsidRPr="000E1168">
              <w:rPr>
                <w:b/>
                <w:color w:val="000000"/>
                <w:sz w:val="20"/>
                <w:szCs w:val="20"/>
              </w:rPr>
              <w:t>%</w:t>
            </w:r>
          </w:p>
        </w:tc>
        <w:tc>
          <w:tcPr>
            <w:tcW w:w="699" w:type="dxa"/>
            <w:tcBorders>
              <w:left w:val="nil"/>
              <w:bottom w:val="single" w:sz="4" w:space="0" w:color="auto"/>
              <w:right w:val="nil"/>
            </w:tcBorders>
            <w:shd w:val="clear" w:color="auto" w:fill="auto"/>
          </w:tcPr>
          <w:p w:rsidR="00723562" w:rsidRPr="000E1168" w:rsidRDefault="00723562" w:rsidP="00CB45C6">
            <w:pPr>
              <w:spacing w:before="60" w:after="60"/>
              <w:jc w:val="center"/>
              <w:rPr>
                <w:b/>
                <w:color w:val="000000"/>
                <w:sz w:val="20"/>
                <w:szCs w:val="20"/>
              </w:rPr>
            </w:pPr>
            <w:r w:rsidRPr="000E1168">
              <w:rPr>
                <w:b/>
                <w:color w:val="000000"/>
                <w:sz w:val="20"/>
                <w:szCs w:val="20"/>
              </w:rPr>
              <w:t>No</w:t>
            </w:r>
          </w:p>
        </w:tc>
        <w:tc>
          <w:tcPr>
            <w:tcW w:w="699" w:type="dxa"/>
            <w:tcBorders>
              <w:left w:val="nil"/>
              <w:bottom w:val="single" w:sz="4" w:space="0" w:color="auto"/>
              <w:right w:val="nil"/>
            </w:tcBorders>
            <w:shd w:val="clear" w:color="auto" w:fill="auto"/>
          </w:tcPr>
          <w:p w:rsidR="00723562" w:rsidRPr="000E1168" w:rsidRDefault="00723562" w:rsidP="00CB45C6">
            <w:pPr>
              <w:spacing w:before="60" w:after="60"/>
              <w:jc w:val="center"/>
              <w:rPr>
                <w:b/>
                <w:color w:val="000000"/>
                <w:sz w:val="20"/>
                <w:szCs w:val="20"/>
              </w:rPr>
            </w:pPr>
            <w:r w:rsidRPr="000E1168">
              <w:rPr>
                <w:b/>
                <w:color w:val="000000"/>
                <w:sz w:val="20"/>
                <w:szCs w:val="20"/>
              </w:rPr>
              <w:t>%</w:t>
            </w:r>
          </w:p>
        </w:tc>
        <w:tc>
          <w:tcPr>
            <w:tcW w:w="699" w:type="dxa"/>
            <w:tcBorders>
              <w:left w:val="nil"/>
              <w:bottom w:val="single" w:sz="4" w:space="0" w:color="auto"/>
              <w:right w:val="nil"/>
            </w:tcBorders>
            <w:shd w:val="clear" w:color="auto" w:fill="auto"/>
          </w:tcPr>
          <w:p w:rsidR="00723562" w:rsidRPr="000E1168" w:rsidRDefault="00723562" w:rsidP="00CB45C6">
            <w:pPr>
              <w:spacing w:before="60" w:after="60"/>
              <w:jc w:val="center"/>
              <w:rPr>
                <w:b/>
                <w:color w:val="000000"/>
                <w:sz w:val="20"/>
                <w:szCs w:val="20"/>
              </w:rPr>
            </w:pPr>
            <w:r w:rsidRPr="000E1168">
              <w:rPr>
                <w:b/>
                <w:color w:val="000000"/>
                <w:sz w:val="20"/>
                <w:szCs w:val="20"/>
              </w:rPr>
              <w:t>No</w:t>
            </w:r>
          </w:p>
        </w:tc>
        <w:tc>
          <w:tcPr>
            <w:tcW w:w="699" w:type="dxa"/>
            <w:tcBorders>
              <w:left w:val="nil"/>
              <w:bottom w:val="single" w:sz="4" w:space="0" w:color="auto"/>
              <w:right w:val="nil"/>
            </w:tcBorders>
            <w:shd w:val="clear" w:color="auto" w:fill="auto"/>
          </w:tcPr>
          <w:p w:rsidR="00723562" w:rsidRPr="000E1168" w:rsidRDefault="00723562" w:rsidP="00CB45C6">
            <w:pPr>
              <w:spacing w:before="60" w:after="60"/>
              <w:jc w:val="center"/>
              <w:rPr>
                <w:b/>
                <w:color w:val="000000"/>
                <w:sz w:val="20"/>
                <w:szCs w:val="20"/>
              </w:rPr>
            </w:pPr>
            <w:r w:rsidRPr="000E1168">
              <w:rPr>
                <w:b/>
                <w:color w:val="000000"/>
                <w:sz w:val="20"/>
                <w:szCs w:val="20"/>
              </w:rPr>
              <w:t>%</w:t>
            </w:r>
          </w:p>
        </w:tc>
      </w:tr>
      <w:tr w:rsidR="00723562" w:rsidRPr="000E1168" w:rsidTr="00CB45C6">
        <w:trPr>
          <w:jc w:val="center"/>
        </w:trPr>
        <w:tc>
          <w:tcPr>
            <w:tcW w:w="1998" w:type="dxa"/>
            <w:vMerge w:val="restart"/>
            <w:tcBorders>
              <w:left w:val="nil"/>
              <w:bottom w:val="nil"/>
              <w:right w:val="nil"/>
            </w:tcBorders>
            <w:shd w:val="clear" w:color="auto" w:fill="auto"/>
          </w:tcPr>
          <w:p w:rsidR="00723562" w:rsidRPr="000E1168" w:rsidRDefault="00723562" w:rsidP="00CB45C6">
            <w:pPr>
              <w:spacing w:before="40" w:after="40"/>
              <w:jc w:val="both"/>
              <w:rPr>
                <w:sz w:val="20"/>
                <w:szCs w:val="20"/>
              </w:rPr>
            </w:pPr>
          </w:p>
          <w:p w:rsidR="00723562" w:rsidRPr="000E1168" w:rsidRDefault="00723562" w:rsidP="00CB45C6">
            <w:pPr>
              <w:spacing w:before="40" w:after="40"/>
              <w:jc w:val="both"/>
              <w:rPr>
                <w:sz w:val="20"/>
                <w:szCs w:val="20"/>
              </w:rPr>
            </w:pPr>
          </w:p>
          <w:p w:rsidR="00723562" w:rsidRPr="000E1168" w:rsidRDefault="00723562" w:rsidP="00CB45C6">
            <w:pPr>
              <w:spacing w:before="40" w:after="40"/>
              <w:jc w:val="both"/>
              <w:rPr>
                <w:sz w:val="20"/>
                <w:szCs w:val="20"/>
              </w:rPr>
            </w:pPr>
          </w:p>
          <w:p w:rsidR="00723562" w:rsidRPr="000E1168" w:rsidRDefault="00723562" w:rsidP="00CB45C6">
            <w:pPr>
              <w:spacing w:before="40" w:after="40"/>
              <w:jc w:val="both"/>
              <w:rPr>
                <w:sz w:val="20"/>
                <w:szCs w:val="20"/>
              </w:rPr>
            </w:pPr>
          </w:p>
          <w:p w:rsidR="00723562" w:rsidRPr="000E1168" w:rsidRDefault="00723562" w:rsidP="00CB45C6">
            <w:pPr>
              <w:spacing w:before="40" w:after="40"/>
              <w:jc w:val="both"/>
              <w:rPr>
                <w:color w:val="000000"/>
                <w:sz w:val="20"/>
                <w:szCs w:val="20"/>
              </w:rPr>
            </w:pPr>
            <w:r w:rsidRPr="000E1168">
              <w:rPr>
                <w:sz w:val="20"/>
                <w:szCs w:val="20"/>
              </w:rPr>
              <w:t>Estructura familiar</w:t>
            </w:r>
          </w:p>
        </w:tc>
        <w:tc>
          <w:tcPr>
            <w:tcW w:w="1843" w:type="dxa"/>
            <w:tcBorders>
              <w:left w:val="nil"/>
              <w:bottom w:val="nil"/>
              <w:right w:val="nil"/>
            </w:tcBorders>
            <w:shd w:val="clear" w:color="auto" w:fill="auto"/>
          </w:tcPr>
          <w:p w:rsidR="00723562" w:rsidRPr="000E1168" w:rsidRDefault="00723562" w:rsidP="00CB45C6">
            <w:pPr>
              <w:spacing w:before="40" w:after="40"/>
              <w:jc w:val="both"/>
              <w:rPr>
                <w:sz w:val="20"/>
                <w:szCs w:val="20"/>
              </w:rPr>
            </w:pPr>
            <w:r w:rsidRPr="000E1168">
              <w:rPr>
                <w:sz w:val="20"/>
                <w:szCs w:val="20"/>
              </w:rPr>
              <w:t>Ambos padres</w:t>
            </w:r>
          </w:p>
        </w:tc>
        <w:tc>
          <w:tcPr>
            <w:tcW w:w="698" w:type="dxa"/>
            <w:tcBorders>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19</w:t>
            </w:r>
          </w:p>
        </w:tc>
        <w:tc>
          <w:tcPr>
            <w:tcW w:w="699" w:type="dxa"/>
            <w:tcBorders>
              <w:left w:val="nil"/>
              <w:bottom w:val="nil"/>
              <w:right w:val="nil"/>
            </w:tcBorders>
            <w:shd w:val="clear" w:color="auto" w:fill="auto"/>
          </w:tcPr>
          <w:p w:rsidR="00723562" w:rsidRPr="000E1168" w:rsidRDefault="00723562" w:rsidP="00CB45C6">
            <w:pPr>
              <w:spacing w:before="40" w:after="40"/>
              <w:jc w:val="both"/>
              <w:rPr>
                <w:sz w:val="20"/>
                <w:szCs w:val="20"/>
              </w:rPr>
            </w:pPr>
            <w:r w:rsidRPr="000E1168">
              <w:rPr>
                <w:sz w:val="20"/>
                <w:szCs w:val="20"/>
              </w:rPr>
              <w:t>19.4</w:t>
            </w:r>
          </w:p>
        </w:tc>
        <w:tc>
          <w:tcPr>
            <w:tcW w:w="699" w:type="dxa"/>
            <w:tcBorders>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17</w:t>
            </w:r>
          </w:p>
        </w:tc>
        <w:tc>
          <w:tcPr>
            <w:tcW w:w="699" w:type="dxa"/>
            <w:tcBorders>
              <w:left w:val="nil"/>
              <w:bottom w:val="nil"/>
              <w:right w:val="nil"/>
            </w:tcBorders>
            <w:shd w:val="clear" w:color="auto" w:fill="auto"/>
          </w:tcPr>
          <w:p w:rsidR="00723562" w:rsidRPr="000E1168" w:rsidRDefault="00723562" w:rsidP="00CB45C6">
            <w:pPr>
              <w:spacing w:before="40" w:after="40"/>
              <w:jc w:val="both"/>
              <w:rPr>
                <w:sz w:val="20"/>
                <w:szCs w:val="20"/>
              </w:rPr>
            </w:pPr>
            <w:r w:rsidRPr="000E1168">
              <w:rPr>
                <w:sz w:val="20"/>
                <w:szCs w:val="20"/>
              </w:rPr>
              <w:t>17.3</w:t>
            </w:r>
          </w:p>
        </w:tc>
        <w:tc>
          <w:tcPr>
            <w:tcW w:w="699" w:type="dxa"/>
            <w:tcBorders>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31</w:t>
            </w:r>
          </w:p>
        </w:tc>
        <w:tc>
          <w:tcPr>
            <w:tcW w:w="699" w:type="dxa"/>
            <w:tcBorders>
              <w:left w:val="nil"/>
              <w:bottom w:val="nil"/>
              <w:right w:val="nil"/>
            </w:tcBorders>
            <w:shd w:val="clear" w:color="auto" w:fill="auto"/>
          </w:tcPr>
          <w:p w:rsidR="00723562" w:rsidRPr="000E1168" w:rsidRDefault="00723562" w:rsidP="00CB45C6">
            <w:pPr>
              <w:spacing w:before="40" w:after="40"/>
              <w:jc w:val="both"/>
              <w:rPr>
                <w:sz w:val="20"/>
                <w:szCs w:val="20"/>
              </w:rPr>
            </w:pPr>
            <w:r w:rsidRPr="000E1168">
              <w:rPr>
                <w:sz w:val="20"/>
                <w:szCs w:val="20"/>
              </w:rPr>
              <w:t>31.6</w:t>
            </w:r>
          </w:p>
        </w:tc>
        <w:tc>
          <w:tcPr>
            <w:tcW w:w="699" w:type="dxa"/>
            <w:tcBorders>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67</w:t>
            </w:r>
          </w:p>
        </w:tc>
        <w:tc>
          <w:tcPr>
            <w:tcW w:w="699" w:type="dxa"/>
            <w:tcBorders>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68.4</w:t>
            </w:r>
          </w:p>
        </w:tc>
      </w:tr>
      <w:tr w:rsidR="00723562" w:rsidRPr="000E1168" w:rsidTr="00CB45C6">
        <w:trPr>
          <w:jc w:val="center"/>
        </w:trPr>
        <w:tc>
          <w:tcPr>
            <w:tcW w:w="1998" w:type="dxa"/>
            <w:vMerge/>
            <w:tcBorders>
              <w:top w:val="nil"/>
              <w:left w:val="nil"/>
              <w:bottom w:val="nil"/>
              <w:right w:val="nil"/>
            </w:tcBorders>
            <w:shd w:val="clear" w:color="auto" w:fill="auto"/>
          </w:tcPr>
          <w:p w:rsidR="00723562" w:rsidRPr="000E1168" w:rsidRDefault="00723562" w:rsidP="00CB45C6">
            <w:pPr>
              <w:spacing w:before="40" w:after="40"/>
              <w:jc w:val="both"/>
              <w:rPr>
                <w:color w:val="000000"/>
                <w:sz w:val="20"/>
                <w:szCs w:val="20"/>
              </w:rPr>
            </w:pPr>
          </w:p>
        </w:tc>
        <w:tc>
          <w:tcPr>
            <w:tcW w:w="1843" w:type="dxa"/>
            <w:tcBorders>
              <w:top w:val="nil"/>
              <w:left w:val="nil"/>
              <w:bottom w:val="nil"/>
              <w:right w:val="nil"/>
            </w:tcBorders>
            <w:shd w:val="clear" w:color="auto" w:fill="auto"/>
          </w:tcPr>
          <w:p w:rsidR="00723562" w:rsidRPr="000E1168" w:rsidRDefault="00723562" w:rsidP="00CB45C6">
            <w:pPr>
              <w:spacing w:before="40" w:after="40"/>
              <w:jc w:val="both"/>
              <w:rPr>
                <w:sz w:val="20"/>
                <w:szCs w:val="20"/>
              </w:rPr>
            </w:pPr>
            <w:r w:rsidRPr="000E1168">
              <w:rPr>
                <w:sz w:val="20"/>
                <w:szCs w:val="20"/>
              </w:rPr>
              <w:t>Madre soltera</w:t>
            </w:r>
          </w:p>
        </w:tc>
        <w:tc>
          <w:tcPr>
            <w:tcW w:w="698"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6</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6.1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2</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2.1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2</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2.1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10</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10.2</w:t>
            </w:r>
          </w:p>
        </w:tc>
      </w:tr>
      <w:tr w:rsidR="00723562" w:rsidRPr="000E1168" w:rsidTr="00CB45C6">
        <w:trPr>
          <w:jc w:val="center"/>
        </w:trPr>
        <w:tc>
          <w:tcPr>
            <w:tcW w:w="1998" w:type="dxa"/>
            <w:vMerge/>
            <w:tcBorders>
              <w:top w:val="nil"/>
              <w:left w:val="nil"/>
              <w:bottom w:val="nil"/>
              <w:right w:val="nil"/>
            </w:tcBorders>
            <w:shd w:val="clear" w:color="auto" w:fill="auto"/>
          </w:tcPr>
          <w:p w:rsidR="00723562" w:rsidRPr="000E1168" w:rsidRDefault="00723562" w:rsidP="00CB45C6">
            <w:pPr>
              <w:spacing w:before="40" w:after="40"/>
              <w:jc w:val="both"/>
              <w:rPr>
                <w:color w:val="000000"/>
                <w:sz w:val="20"/>
                <w:szCs w:val="20"/>
              </w:rPr>
            </w:pPr>
          </w:p>
        </w:tc>
        <w:tc>
          <w:tcPr>
            <w:tcW w:w="1843" w:type="dxa"/>
            <w:tcBorders>
              <w:top w:val="nil"/>
              <w:left w:val="nil"/>
              <w:bottom w:val="nil"/>
              <w:right w:val="nil"/>
            </w:tcBorders>
            <w:shd w:val="clear" w:color="auto" w:fill="auto"/>
          </w:tcPr>
          <w:p w:rsidR="00723562" w:rsidRPr="000E1168" w:rsidRDefault="00723562" w:rsidP="00CB45C6">
            <w:pPr>
              <w:spacing w:before="40" w:after="40"/>
              <w:jc w:val="both"/>
              <w:rPr>
                <w:sz w:val="20"/>
                <w:szCs w:val="20"/>
              </w:rPr>
            </w:pPr>
            <w:r w:rsidRPr="000E1168">
              <w:rPr>
                <w:sz w:val="20"/>
                <w:szCs w:val="20"/>
              </w:rPr>
              <w:t>Madre y padrastro</w:t>
            </w:r>
          </w:p>
        </w:tc>
        <w:tc>
          <w:tcPr>
            <w:tcW w:w="698"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1.1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0</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0</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2</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2.1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3</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3.1</w:t>
            </w:r>
          </w:p>
        </w:tc>
      </w:tr>
      <w:tr w:rsidR="00723562" w:rsidRPr="000E1168" w:rsidTr="00CB45C6">
        <w:trPr>
          <w:jc w:val="center"/>
        </w:trPr>
        <w:tc>
          <w:tcPr>
            <w:tcW w:w="1998" w:type="dxa"/>
            <w:vMerge/>
            <w:tcBorders>
              <w:top w:val="nil"/>
              <w:left w:val="nil"/>
              <w:bottom w:val="nil"/>
              <w:right w:val="nil"/>
            </w:tcBorders>
            <w:shd w:val="clear" w:color="auto" w:fill="auto"/>
          </w:tcPr>
          <w:p w:rsidR="00723562" w:rsidRPr="000E1168" w:rsidRDefault="00723562" w:rsidP="00CB45C6">
            <w:pPr>
              <w:spacing w:before="40" w:after="40"/>
              <w:jc w:val="both"/>
              <w:rPr>
                <w:color w:val="000000"/>
                <w:sz w:val="20"/>
                <w:szCs w:val="20"/>
              </w:rPr>
            </w:pPr>
          </w:p>
        </w:tc>
        <w:tc>
          <w:tcPr>
            <w:tcW w:w="1843" w:type="dxa"/>
            <w:tcBorders>
              <w:top w:val="nil"/>
              <w:left w:val="nil"/>
              <w:bottom w:val="nil"/>
              <w:right w:val="nil"/>
            </w:tcBorders>
            <w:shd w:val="clear" w:color="auto" w:fill="auto"/>
          </w:tcPr>
          <w:p w:rsidR="00723562" w:rsidRPr="000E1168" w:rsidRDefault="00723562" w:rsidP="00CB45C6">
            <w:pPr>
              <w:spacing w:before="40" w:after="40"/>
              <w:jc w:val="both"/>
              <w:rPr>
                <w:sz w:val="20"/>
                <w:szCs w:val="20"/>
              </w:rPr>
            </w:pPr>
            <w:r w:rsidRPr="000E1168">
              <w:rPr>
                <w:sz w:val="20"/>
                <w:szCs w:val="20"/>
              </w:rPr>
              <w:t>Madre y otros</w:t>
            </w:r>
          </w:p>
        </w:tc>
        <w:tc>
          <w:tcPr>
            <w:tcW w:w="698"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6</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sz w:val="20"/>
                <w:szCs w:val="20"/>
              </w:rPr>
            </w:pPr>
            <w:r w:rsidRPr="000E1168">
              <w:rPr>
                <w:sz w:val="20"/>
                <w:szCs w:val="20"/>
              </w:rPr>
              <w:t>6.1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2</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2.1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2</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2.1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10</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10.2</w:t>
            </w:r>
          </w:p>
        </w:tc>
      </w:tr>
      <w:tr w:rsidR="00723562" w:rsidRPr="000E1168" w:rsidTr="00CB45C6">
        <w:trPr>
          <w:jc w:val="center"/>
        </w:trPr>
        <w:tc>
          <w:tcPr>
            <w:tcW w:w="1998" w:type="dxa"/>
            <w:vMerge/>
            <w:tcBorders>
              <w:top w:val="nil"/>
              <w:left w:val="nil"/>
              <w:bottom w:val="nil"/>
              <w:right w:val="nil"/>
            </w:tcBorders>
            <w:shd w:val="clear" w:color="auto" w:fill="auto"/>
          </w:tcPr>
          <w:p w:rsidR="00723562" w:rsidRPr="000E1168" w:rsidRDefault="00723562" w:rsidP="00CB45C6">
            <w:pPr>
              <w:spacing w:before="40" w:after="40"/>
              <w:jc w:val="both"/>
              <w:rPr>
                <w:color w:val="000000"/>
                <w:sz w:val="20"/>
                <w:szCs w:val="20"/>
              </w:rPr>
            </w:pPr>
          </w:p>
        </w:tc>
        <w:tc>
          <w:tcPr>
            <w:tcW w:w="1843" w:type="dxa"/>
            <w:tcBorders>
              <w:top w:val="nil"/>
              <w:left w:val="nil"/>
              <w:bottom w:val="nil"/>
              <w:right w:val="nil"/>
            </w:tcBorders>
            <w:shd w:val="clear" w:color="auto" w:fill="auto"/>
          </w:tcPr>
          <w:p w:rsidR="00723562" w:rsidRPr="000E1168" w:rsidRDefault="00723562" w:rsidP="00CB45C6">
            <w:pPr>
              <w:spacing w:before="40" w:after="40"/>
              <w:jc w:val="both"/>
              <w:rPr>
                <w:sz w:val="20"/>
                <w:szCs w:val="20"/>
              </w:rPr>
            </w:pPr>
            <w:r w:rsidRPr="000E1168">
              <w:rPr>
                <w:sz w:val="20"/>
                <w:szCs w:val="20"/>
              </w:rPr>
              <w:t>Padre soltero</w:t>
            </w:r>
          </w:p>
        </w:tc>
        <w:tc>
          <w:tcPr>
            <w:tcW w:w="698"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2</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2.1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0</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0</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1.1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3</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3.1</w:t>
            </w:r>
          </w:p>
        </w:tc>
      </w:tr>
      <w:tr w:rsidR="00723562" w:rsidRPr="000E1168" w:rsidTr="00CB45C6">
        <w:trPr>
          <w:jc w:val="center"/>
        </w:trPr>
        <w:tc>
          <w:tcPr>
            <w:tcW w:w="1998" w:type="dxa"/>
            <w:vMerge/>
            <w:tcBorders>
              <w:top w:val="nil"/>
              <w:left w:val="nil"/>
              <w:bottom w:val="nil"/>
              <w:right w:val="nil"/>
            </w:tcBorders>
            <w:shd w:val="clear" w:color="auto" w:fill="auto"/>
          </w:tcPr>
          <w:p w:rsidR="00723562" w:rsidRPr="000E1168" w:rsidRDefault="00723562" w:rsidP="00CB45C6">
            <w:pPr>
              <w:spacing w:before="40" w:after="40"/>
              <w:jc w:val="both"/>
              <w:rPr>
                <w:color w:val="000000"/>
                <w:sz w:val="20"/>
                <w:szCs w:val="20"/>
              </w:rPr>
            </w:pPr>
          </w:p>
        </w:tc>
        <w:tc>
          <w:tcPr>
            <w:tcW w:w="1843" w:type="dxa"/>
            <w:tcBorders>
              <w:top w:val="nil"/>
              <w:left w:val="nil"/>
              <w:bottom w:val="nil"/>
              <w:right w:val="nil"/>
            </w:tcBorders>
            <w:shd w:val="clear" w:color="auto" w:fill="auto"/>
          </w:tcPr>
          <w:p w:rsidR="00723562" w:rsidRPr="000E1168" w:rsidRDefault="00723562" w:rsidP="00CB45C6">
            <w:pPr>
              <w:spacing w:before="40" w:after="40"/>
              <w:jc w:val="both"/>
              <w:rPr>
                <w:sz w:val="20"/>
                <w:szCs w:val="20"/>
              </w:rPr>
            </w:pPr>
            <w:r w:rsidRPr="000E1168">
              <w:rPr>
                <w:sz w:val="20"/>
                <w:szCs w:val="20"/>
              </w:rPr>
              <w:t>Padre y madrastra</w:t>
            </w:r>
          </w:p>
        </w:tc>
        <w:tc>
          <w:tcPr>
            <w:tcW w:w="698"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1.1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0</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0</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0</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0</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1.1</w:t>
            </w:r>
          </w:p>
        </w:tc>
      </w:tr>
      <w:tr w:rsidR="00723562" w:rsidRPr="000E1168" w:rsidTr="00CB45C6">
        <w:trPr>
          <w:jc w:val="center"/>
        </w:trPr>
        <w:tc>
          <w:tcPr>
            <w:tcW w:w="1998" w:type="dxa"/>
            <w:vMerge/>
            <w:tcBorders>
              <w:top w:val="nil"/>
              <w:left w:val="nil"/>
              <w:bottom w:val="nil"/>
              <w:right w:val="nil"/>
            </w:tcBorders>
            <w:shd w:val="clear" w:color="auto" w:fill="auto"/>
          </w:tcPr>
          <w:p w:rsidR="00723562" w:rsidRPr="000E1168" w:rsidRDefault="00723562" w:rsidP="00CB45C6">
            <w:pPr>
              <w:spacing w:before="40" w:after="40"/>
              <w:jc w:val="both"/>
              <w:rPr>
                <w:color w:val="000000"/>
                <w:sz w:val="20"/>
                <w:szCs w:val="20"/>
              </w:rPr>
            </w:pPr>
          </w:p>
        </w:tc>
        <w:tc>
          <w:tcPr>
            <w:tcW w:w="1843" w:type="dxa"/>
            <w:tcBorders>
              <w:top w:val="nil"/>
              <w:left w:val="nil"/>
              <w:bottom w:val="nil"/>
              <w:right w:val="nil"/>
            </w:tcBorders>
            <w:shd w:val="clear" w:color="auto" w:fill="auto"/>
          </w:tcPr>
          <w:p w:rsidR="00723562" w:rsidRPr="000E1168" w:rsidRDefault="00723562" w:rsidP="00CB45C6">
            <w:pPr>
              <w:spacing w:before="40" w:after="40"/>
              <w:jc w:val="both"/>
              <w:rPr>
                <w:sz w:val="20"/>
                <w:szCs w:val="20"/>
              </w:rPr>
            </w:pPr>
            <w:r w:rsidRPr="000E1168">
              <w:rPr>
                <w:sz w:val="20"/>
                <w:szCs w:val="20"/>
              </w:rPr>
              <w:t>Padre y otros</w:t>
            </w:r>
          </w:p>
        </w:tc>
        <w:tc>
          <w:tcPr>
            <w:tcW w:w="698"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2</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2.1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0</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0</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0</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0</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2</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2.1</w:t>
            </w:r>
          </w:p>
        </w:tc>
      </w:tr>
      <w:tr w:rsidR="00723562" w:rsidRPr="000E1168" w:rsidTr="00CB45C6">
        <w:trPr>
          <w:jc w:val="center"/>
        </w:trPr>
        <w:tc>
          <w:tcPr>
            <w:tcW w:w="1998" w:type="dxa"/>
            <w:vMerge/>
            <w:tcBorders>
              <w:top w:val="nil"/>
              <w:left w:val="nil"/>
              <w:bottom w:val="single" w:sz="4" w:space="0" w:color="auto"/>
              <w:right w:val="nil"/>
            </w:tcBorders>
            <w:shd w:val="clear" w:color="auto" w:fill="auto"/>
          </w:tcPr>
          <w:p w:rsidR="00723562" w:rsidRPr="000E1168" w:rsidRDefault="00723562" w:rsidP="00CB45C6">
            <w:pPr>
              <w:spacing w:before="40" w:after="40"/>
              <w:jc w:val="both"/>
              <w:rPr>
                <w:color w:val="000000"/>
                <w:sz w:val="20"/>
                <w:szCs w:val="20"/>
              </w:rPr>
            </w:pPr>
          </w:p>
        </w:tc>
        <w:tc>
          <w:tcPr>
            <w:tcW w:w="1843" w:type="dxa"/>
            <w:tcBorders>
              <w:top w:val="nil"/>
              <w:left w:val="nil"/>
              <w:bottom w:val="single" w:sz="4" w:space="0" w:color="auto"/>
              <w:right w:val="nil"/>
            </w:tcBorders>
            <w:shd w:val="clear" w:color="auto" w:fill="auto"/>
          </w:tcPr>
          <w:p w:rsidR="00723562" w:rsidRPr="000E1168" w:rsidRDefault="00723562" w:rsidP="00CB45C6">
            <w:pPr>
              <w:spacing w:before="40" w:after="40"/>
              <w:jc w:val="both"/>
              <w:rPr>
                <w:sz w:val="20"/>
                <w:szCs w:val="20"/>
              </w:rPr>
            </w:pPr>
            <w:r w:rsidRPr="000E1168">
              <w:rPr>
                <w:sz w:val="20"/>
                <w:szCs w:val="20"/>
              </w:rPr>
              <w:t xml:space="preserve">Abuelos </w:t>
            </w:r>
          </w:p>
        </w:tc>
        <w:tc>
          <w:tcPr>
            <w:tcW w:w="698" w:type="dxa"/>
            <w:tcBorders>
              <w:top w:val="nil"/>
              <w:left w:val="nil"/>
              <w:bottom w:val="single" w:sz="4" w:space="0" w:color="auto"/>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1</w:t>
            </w:r>
          </w:p>
        </w:tc>
        <w:tc>
          <w:tcPr>
            <w:tcW w:w="699" w:type="dxa"/>
            <w:tcBorders>
              <w:top w:val="nil"/>
              <w:left w:val="nil"/>
              <w:bottom w:val="single" w:sz="4" w:space="0" w:color="auto"/>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1.1</w:t>
            </w:r>
          </w:p>
        </w:tc>
        <w:tc>
          <w:tcPr>
            <w:tcW w:w="699" w:type="dxa"/>
            <w:tcBorders>
              <w:top w:val="nil"/>
              <w:left w:val="nil"/>
              <w:bottom w:val="single" w:sz="4" w:space="0" w:color="auto"/>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1</w:t>
            </w:r>
          </w:p>
        </w:tc>
        <w:tc>
          <w:tcPr>
            <w:tcW w:w="699" w:type="dxa"/>
            <w:tcBorders>
              <w:top w:val="nil"/>
              <w:left w:val="nil"/>
              <w:bottom w:val="single" w:sz="4" w:space="0" w:color="auto"/>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1.1</w:t>
            </w:r>
          </w:p>
        </w:tc>
        <w:tc>
          <w:tcPr>
            <w:tcW w:w="699" w:type="dxa"/>
            <w:tcBorders>
              <w:top w:val="nil"/>
              <w:left w:val="nil"/>
              <w:bottom w:val="single" w:sz="4" w:space="0" w:color="auto"/>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0</w:t>
            </w:r>
          </w:p>
        </w:tc>
        <w:tc>
          <w:tcPr>
            <w:tcW w:w="699" w:type="dxa"/>
            <w:tcBorders>
              <w:top w:val="nil"/>
              <w:left w:val="nil"/>
              <w:bottom w:val="single" w:sz="4" w:space="0" w:color="auto"/>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0</w:t>
            </w:r>
          </w:p>
        </w:tc>
        <w:tc>
          <w:tcPr>
            <w:tcW w:w="699" w:type="dxa"/>
            <w:tcBorders>
              <w:top w:val="nil"/>
              <w:left w:val="nil"/>
              <w:bottom w:val="single" w:sz="4" w:space="0" w:color="auto"/>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2</w:t>
            </w:r>
          </w:p>
        </w:tc>
        <w:tc>
          <w:tcPr>
            <w:tcW w:w="699" w:type="dxa"/>
            <w:tcBorders>
              <w:top w:val="nil"/>
              <w:left w:val="nil"/>
              <w:bottom w:val="single" w:sz="4" w:space="0" w:color="auto"/>
              <w:right w:val="nil"/>
            </w:tcBorders>
            <w:shd w:val="clear" w:color="auto" w:fill="auto"/>
          </w:tcPr>
          <w:p w:rsidR="00723562" w:rsidRPr="000E1168" w:rsidRDefault="00723562" w:rsidP="00CB45C6">
            <w:pPr>
              <w:spacing w:before="40" w:after="40"/>
              <w:jc w:val="center"/>
              <w:rPr>
                <w:sz w:val="20"/>
                <w:szCs w:val="20"/>
              </w:rPr>
            </w:pPr>
            <w:r w:rsidRPr="000E1168">
              <w:rPr>
                <w:sz w:val="20"/>
                <w:szCs w:val="20"/>
              </w:rPr>
              <w:t>2.1</w:t>
            </w:r>
          </w:p>
        </w:tc>
      </w:tr>
      <w:tr w:rsidR="00723562" w:rsidRPr="000E1168" w:rsidTr="00CB45C6">
        <w:trPr>
          <w:jc w:val="center"/>
        </w:trPr>
        <w:tc>
          <w:tcPr>
            <w:tcW w:w="1998" w:type="dxa"/>
            <w:vMerge w:val="restart"/>
            <w:tcBorders>
              <w:left w:val="nil"/>
              <w:bottom w:val="nil"/>
              <w:right w:val="nil"/>
            </w:tcBorders>
            <w:shd w:val="clear" w:color="auto" w:fill="auto"/>
          </w:tcPr>
          <w:p w:rsidR="00723562" w:rsidRPr="000E1168" w:rsidRDefault="00723562" w:rsidP="00CB45C6">
            <w:pPr>
              <w:spacing w:before="40" w:after="40"/>
              <w:jc w:val="both"/>
              <w:rPr>
                <w:color w:val="000000"/>
                <w:sz w:val="20"/>
                <w:szCs w:val="20"/>
              </w:rPr>
            </w:pPr>
          </w:p>
          <w:p w:rsidR="00723562" w:rsidRPr="000E1168" w:rsidRDefault="00723562" w:rsidP="00CB45C6">
            <w:pPr>
              <w:spacing w:before="40" w:after="40"/>
              <w:jc w:val="both"/>
              <w:rPr>
                <w:color w:val="000000"/>
                <w:sz w:val="20"/>
                <w:szCs w:val="20"/>
              </w:rPr>
            </w:pPr>
          </w:p>
          <w:p w:rsidR="00723562" w:rsidRPr="000E1168" w:rsidRDefault="00723562" w:rsidP="00CB45C6">
            <w:pPr>
              <w:spacing w:before="40" w:after="40"/>
              <w:jc w:val="both"/>
              <w:rPr>
                <w:color w:val="000000"/>
                <w:sz w:val="20"/>
                <w:szCs w:val="20"/>
              </w:rPr>
            </w:pPr>
            <w:r w:rsidRPr="000E1168">
              <w:rPr>
                <w:color w:val="000000"/>
                <w:sz w:val="20"/>
                <w:szCs w:val="20"/>
              </w:rPr>
              <w:t>Nivel socioeconómico</w:t>
            </w:r>
          </w:p>
        </w:tc>
        <w:tc>
          <w:tcPr>
            <w:tcW w:w="1843" w:type="dxa"/>
            <w:tcBorders>
              <w:left w:val="nil"/>
              <w:bottom w:val="nil"/>
              <w:right w:val="nil"/>
            </w:tcBorders>
            <w:shd w:val="clear" w:color="auto" w:fill="auto"/>
          </w:tcPr>
          <w:p w:rsidR="00723562" w:rsidRPr="000E1168" w:rsidRDefault="00723562" w:rsidP="00CB45C6">
            <w:pPr>
              <w:spacing w:before="40" w:after="40"/>
              <w:jc w:val="both"/>
              <w:rPr>
                <w:color w:val="000000"/>
                <w:sz w:val="20"/>
                <w:szCs w:val="20"/>
              </w:rPr>
            </w:pPr>
            <w:r w:rsidRPr="000E1168">
              <w:rPr>
                <w:color w:val="000000"/>
                <w:sz w:val="20"/>
                <w:szCs w:val="20"/>
              </w:rPr>
              <w:t>Alto</w:t>
            </w:r>
          </w:p>
        </w:tc>
        <w:tc>
          <w:tcPr>
            <w:tcW w:w="698" w:type="dxa"/>
            <w:tcBorders>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w:t>
            </w:r>
          </w:p>
        </w:tc>
        <w:tc>
          <w:tcPr>
            <w:tcW w:w="699" w:type="dxa"/>
            <w:tcBorders>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1.1</w:t>
            </w:r>
          </w:p>
        </w:tc>
        <w:tc>
          <w:tcPr>
            <w:tcW w:w="699" w:type="dxa"/>
            <w:tcBorders>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7</w:t>
            </w:r>
          </w:p>
        </w:tc>
        <w:tc>
          <w:tcPr>
            <w:tcW w:w="699" w:type="dxa"/>
            <w:tcBorders>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7.1</w:t>
            </w:r>
          </w:p>
        </w:tc>
        <w:tc>
          <w:tcPr>
            <w:tcW w:w="699" w:type="dxa"/>
            <w:tcBorders>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22</w:t>
            </w:r>
          </w:p>
        </w:tc>
        <w:tc>
          <w:tcPr>
            <w:tcW w:w="699" w:type="dxa"/>
            <w:tcBorders>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22.4</w:t>
            </w:r>
          </w:p>
        </w:tc>
        <w:tc>
          <w:tcPr>
            <w:tcW w:w="699" w:type="dxa"/>
            <w:tcBorders>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30</w:t>
            </w:r>
          </w:p>
        </w:tc>
        <w:tc>
          <w:tcPr>
            <w:tcW w:w="699" w:type="dxa"/>
            <w:tcBorders>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30.6</w:t>
            </w:r>
          </w:p>
        </w:tc>
      </w:tr>
      <w:tr w:rsidR="00723562" w:rsidRPr="000E1168" w:rsidTr="00CB45C6">
        <w:trPr>
          <w:jc w:val="center"/>
        </w:trPr>
        <w:tc>
          <w:tcPr>
            <w:tcW w:w="1998" w:type="dxa"/>
            <w:vMerge/>
            <w:tcBorders>
              <w:top w:val="nil"/>
              <w:left w:val="nil"/>
              <w:bottom w:val="nil"/>
              <w:right w:val="nil"/>
            </w:tcBorders>
            <w:shd w:val="clear" w:color="auto" w:fill="auto"/>
          </w:tcPr>
          <w:p w:rsidR="00723562" w:rsidRPr="000E1168" w:rsidRDefault="00723562" w:rsidP="00CB45C6">
            <w:pPr>
              <w:spacing w:before="40" w:after="40"/>
              <w:jc w:val="both"/>
              <w:rPr>
                <w:color w:val="000000"/>
                <w:sz w:val="20"/>
                <w:szCs w:val="20"/>
              </w:rPr>
            </w:pPr>
          </w:p>
        </w:tc>
        <w:tc>
          <w:tcPr>
            <w:tcW w:w="1843" w:type="dxa"/>
            <w:tcBorders>
              <w:top w:val="nil"/>
              <w:left w:val="nil"/>
              <w:bottom w:val="nil"/>
              <w:right w:val="nil"/>
            </w:tcBorders>
            <w:shd w:val="clear" w:color="auto" w:fill="auto"/>
          </w:tcPr>
          <w:p w:rsidR="00723562" w:rsidRPr="000E1168" w:rsidRDefault="00723562" w:rsidP="00CB45C6">
            <w:pPr>
              <w:spacing w:before="40" w:after="40"/>
              <w:jc w:val="both"/>
              <w:rPr>
                <w:color w:val="000000"/>
                <w:sz w:val="20"/>
                <w:szCs w:val="20"/>
              </w:rPr>
            </w:pPr>
            <w:r w:rsidRPr="000E1168">
              <w:rPr>
                <w:color w:val="000000"/>
                <w:sz w:val="20"/>
                <w:szCs w:val="20"/>
              </w:rPr>
              <w:t>Medio</w:t>
            </w:r>
          </w:p>
        </w:tc>
        <w:tc>
          <w:tcPr>
            <w:tcW w:w="698"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11</w:t>
            </w:r>
          </w:p>
        </w:tc>
        <w:tc>
          <w:tcPr>
            <w:tcW w:w="699" w:type="dxa"/>
            <w:tcBorders>
              <w:top w:val="nil"/>
              <w:left w:val="nil"/>
              <w:bottom w:val="nil"/>
              <w:right w:val="nil"/>
            </w:tcBorders>
            <w:shd w:val="clear" w:color="auto" w:fill="auto"/>
          </w:tcPr>
          <w:p w:rsidR="00723562" w:rsidRPr="000E1168" w:rsidRDefault="00723562" w:rsidP="00CB45C6">
            <w:pPr>
              <w:spacing w:before="40" w:after="40"/>
              <w:ind w:right="-108" w:hanging="108"/>
              <w:jc w:val="center"/>
              <w:rPr>
                <w:color w:val="000000"/>
                <w:sz w:val="20"/>
                <w:szCs w:val="20"/>
              </w:rPr>
            </w:pPr>
            <w:r w:rsidRPr="000E1168">
              <w:rPr>
                <w:color w:val="000000"/>
                <w:sz w:val="20"/>
                <w:szCs w:val="20"/>
              </w:rPr>
              <w:t>11.2</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9</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9.1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15</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15.3</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35</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35.7</w:t>
            </w:r>
          </w:p>
        </w:tc>
      </w:tr>
      <w:tr w:rsidR="00723562" w:rsidRPr="000E1168" w:rsidTr="00CB45C6">
        <w:trPr>
          <w:jc w:val="center"/>
        </w:trPr>
        <w:tc>
          <w:tcPr>
            <w:tcW w:w="1998" w:type="dxa"/>
            <w:vMerge/>
            <w:tcBorders>
              <w:top w:val="nil"/>
              <w:left w:val="nil"/>
              <w:right w:val="nil"/>
            </w:tcBorders>
            <w:shd w:val="clear" w:color="auto" w:fill="auto"/>
          </w:tcPr>
          <w:p w:rsidR="00723562" w:rsidRPr="000E1168" w:rsidRDefault="00723562" w:rsidP="00CB45C6">
            <w:pPr>
              <w:spacing w:before="40" w:after="40"/>
              <w:jc w:val="both"/>
              <w:rPr>
                <w:color w:val="000000"/>
                <w:sz w:val="20"/>
                <w:szCs w:val="20"/>
              </w:rPr>
            </w:pPr>
          </w:p>
        </w:tc>
        <w:tc>
          <w:tcPr>
            <w:tcW w:w="1843" w:type="dxa"/>
            <w:tcBorders>
              <w:top w:val="nil"/>
              <w:left w:val="nil"/>
              <w:right w:val="nil"/>
            </w:tcBorders>
            <w:shd w:val="clear" w:color="auto" w:fill="auto"/>
          </w:tcPr>
          <w:p w:rsidR="00723562" w:rsidRPr="000E1168" w:rsidRDefault="00723562" w:rsidP="00CB45C6">
            <w:pPr>
              <w:spacing w:before="40" w:after="40"/>
              <w:jc w:val="both"/>
              <w:rPr>
                <w:color w:val="000000"/>
                <w:sz w:val="20"/>
                <w:szCs w:val="20"/>
              </w:rPr>
            </w:pPr>
            <w:r w:rsidRPr="000E1168">
              <w:rPr>
                <w:color w:val="000000"/>
                <w:sz w:val="20"/>
                <w:szCs w:val="20"/>
              </w:rPr>
              <w:t>Bajo</w:t>
            </w:r>
          </w:p>
        </w:tc>
        <w:tc>
          <w:tcPr>
            <w:tcW w:w="698" w:type="dxa"/>
            <w:tcBorders>
              <w:top w:val="nil"/>
              <w:left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26</w:t>
            </w:r>
          </w:p>
        </w:tc>
        <w:tc>
          <w:tcPr>
            <w:tcW w:w="699" w:type="dxa"/>
            <w:tcBorders>
              <w:top w:val="nil"/>
              <w:left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26.5</w:t>
            </w:r>
          </w:p>
        </w:tc>
        <w:tc>
          <w:tcPr>
            <w:tcW w:w="699" w:type="dxa"/>
            <w:tcBorders>
              <w:top w:val="nil"/>
              <w:left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6</w:t>
            </w:r>
          </w:p>
        </w:tc>
        <w:tc>
          <w:tcPr>
            <w:tcW w:w="699" w:type="dxa"/>
            <w:tcBorders>
              <w:top w:val="nil"/>
              <w:left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6.1</w:t>
            </w:r>
          </w:p>
        </w:tc>
        <w:tc>
          <w:tcPr>
            <w:tcW w:w="699" w:type="dxa"/>
            <w:tcBorders>
              <w:top w:val="nil"/>
              <w:left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w:t>
            </w:r>
          </w:p>
        </w:tc>
        <w:tc>
          <w:tcPr>
            <w:tcW w:w="699" w:type="dxa"/>
            <w:tcBorders>
              <w:top w:val="nil"/>
              <w:left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1.1</w:t>
            </w:r>
          </w:p>
        </w:tc>
        <w:tc>
          <w:tcPr>
            <w:tcW w:w="699" w:type="dxa"/>
            <w:tcBorders>
              <w:top w:val="nil"/>
              <w:left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33</w:t>
            </w:r>
          </w:p>
        </w:tc>
        <w:tc>
          <w:tcPr>
            <w:tcW w:w="699" w:type="dxa"/>
            <w:tcBorders>
              <w:top w:val="nil"/>
              <w:left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33.7</w:t>
            </w:r>
          </w:p>
        </w:tc>
      </w:tr>
      <w:tr w:rsidR="00723562" w:rsidRPr="000E1168" w:rsidTr="00CB45C6">
        <w:trPr>
          <w:jc w:val="center"/>
        </w:trPr>
        <w:tc>
          <w:tcPr>
            <w:tcW w:w="1998" w:type="dxa"/>
            <w:vMerge w:val="restart"/>
            <w:tcBorders>
              <w:left w:val="nil"/>
              <w:bottom w:val="nil"/>
              <w:right w:val="nil"/>
            </w:tcBorders>
            <w:shd w:val="clear" w:color="auto" w:fill="auto"/>
          </w:tcPr>
          <w:p w:rsidR="00723562" w:rsidRPr="000E1168" w:rsidRDefault="00723562" w:rsidP="00CB45C6">
            <w:pPr>
              <w:spacing w:before="40" w:after="40"/>
              <w:rPr>
                <w:color w:val="000000"/>
                <w:sz w:val="20"/>
                <w:szCs w:val="20"/>
              </w:rPr>
            </w:pPr>
          </w:p>
          <w:p w:rsidR="00723562" w:rsidRPr="000E1168" w:rsidRDefault="00723562" w:rsidP="00CB45C6">
            <w:pPr>
              <w:spacing w:before="40" w:after="40"/>
              <w:rPr>
                <w:color w:val="000000"/>
                <w:sz w:val="20"/>
                <w:szCs w:val="20"/>
              </w:rPr>
            </w:pPr>
          </w:p>
          <w:p w:rsidR="00723562" w:rsidRPr="000E1168" w:rsidRDefault="00723562" w:rsidP="00CB45C6">
            <w:pPr>
              <w:spacing w:before="40" w:after="40"/>
              <w:rPr>
                <w:color w:val="000000"/>
                <w:sz w:val="20"/>
                <w:szCs w:val="20"/>
              </w:rPr>
            </w:pPr>
          </w:p>
          <w:p w:rsidR="00723562" w:rsidRPr="000E1168" w:rsidRDefault="00723562" w:rsidP="00CB45C6">
            <w:pPr>
              <w:spacing w:before="40" w:after="40"/>
              <w:rPr>
                <w:color w:val="000000"/>
                <w:sz w:val="20"/>
                <w:szCs w:val="20"/>
              </w:rPr>
            </w:pPr>
            <w:r w:rsidRPr="000E1168">
              <w:rPr>
                <w:color w:val="000000"/>
                <w:sz w:val="20"/>
                <w:szCs w:val="20"/>
              </w:rPr>
              <w:t>Ocupación de la madre</w:t>
            </w:r>
          </w:p>
        </w:tc>
        <w:tc>
          <w:tcPr>
            <w:tcW w:w="1843" w:type="dxa"/>
            <w:tcBorders>
              <w:left w:val="nil"/>
              <w:bottom w:val="nil"/>
              <w:right w:val="nil"/>
            </w:tcBorders>
            <w:shd w:val="clear" w:color="auto" w:fill="auto"/>
          </w:tcPr>
          <w:p w:rsidR="00723562" w:rsidRPr="000E1168" w:rsidRDefault="00723562" w:rsidP="00CB45C6">
            <w:pPr>
              <w:spacing w:before="40" w:after="40"/>
              <w:jc w:val="both"/>
              <w:rPr>
                <w:color w:val="000000"/>
                <w:sz w:val="20"/>
                <w:szCs w:val="20"/>
              </w:rPr>
            </w:pPr>
            <w:r w:rsidRPr="000E1168">
              <w:rPr>
                <w:color w:val="000000"/>
                <w:sz w:val="20"/>
                <w:szCs w:val="20"/>
              </w:rPr>
              <w:t>Profesional</w:t>
            </w:r>
          </w:p>
        </w:tc>
        <w:tc>
          <w:tcPr>
            <w:tcW w:w="698" w:type="dxa"/>
            <w:tcBorders>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2</w:t>
            </w:r>
          </w:p>
        </w:tc>
        <w:tc>
          <w:tcPr>
            <w:tcW w:w="699" w:type="dxa"/>
            <w:tcBorders>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2.1</w:t>
            </w:r>
          </w:p>
        </w:tc>
        <w:tc>
          <w:tcPr>
            <w:tcW w:w="699" w:type="dxa"/>
            <w:tcBorders>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2</w:t>
            </w:r>
          </w:p>
        </w:tc>
        <w:tc>
          <w:tcPr>
            <w:tcW w:w="699" w:type="dxa"/>
            <w:tcBorders>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2.1</w:t>
            </w:r>
          </w:p>
        </w:tc>
        <w:tc>
          <w:tcPr>
            <w:tcW w:w="699" w:type="dxa"/>
            <w:tcBorders>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14</w:t>
            </w:r>
          </w:p>
        </w:tc>
        <w:tc>
          <w:tcPr>
            <w:tcW w:w="699" w:type="dxa"/>
            <w:tcBorders>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14.2</w:t>
            </w:r>
          </w:p>
        </w:tc>
        <w:tc>
          <w:tcPr>
            <w:tcW w:w="699" w:type="dxa"/>
            <w:tcBorders>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18</w:t>
            </w:r>
          </w:p>
        </w:tc>
        <w:tc>
          <w:tcPr>
            <w:tcW w:w="699" w:type="dxa"/>
            <w:tcBorders>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18.4</w:t>
            </w:r>
          </w:p>
        </w:tc>
      </w:tr>
      <w:tr w:rsidR="00723562" w:rsidRPr="000E1168" w:rsidTr="00CB45C6">
        <w:trPr>
          <w:jc w:val="center"/>
        </w:trPr>
        <w:tc>
          <w:tcPr>
            <w:tcW w:w="1998" w:type="dxa"/>
            <w:vMerge/>
            <w:tcBorders>
              <w:top w:val="nil"/>
              <w:left w:val="nil"/>
              <w:bottom w:val="nil"/>
              <w:right w:val="nil"/>
            </w:tcBorders>
            <w:shd w:val="clear" w:color="auto" w:fill="auto"/>
          </w:tcPr>
          <w:p w:rsidR="00723562" w:rsidRPr="000E1168" w:rsidRDefault="00723562" w:rsidP="00CB45C6">
            <w:pPr>
              <w:spacing w:before="40" w:after="40"/>
              <w:jc w:val="both"/>
              <w:rPr>
                <w:color w:val="000000"/>
                <w:sz w:val="20"/>
                <w:szCs w:val="20"/>
              </w:rPr>
            </w:pPr>
          </w:p>
        </w:tc>
        <w:tc>
          <w:tcPr>
            <w:tcW w:w="1843" w:type="dxa"/>
            <w:tcBorders>
              <w:top w:val="nil"/>
              <w:left w:val="nil"/>
              <w:bottom w:val="nil"/>
              <w:right w:val="nil"/>
            </w:tcBorders>
            <w:shd w:val="clear" w:color="auto" w:fill="auto"/>
          </w:tcPr>
          <w:p w:rsidR="00723562" w:rsidRPr="000E1168" w:rsidRDefault="00723562" w:rsidP="00CB45C6">
            <w:pPr>
              <w:spacing w:before="40" w:after="40"/>
              <w:jc w:val="both"/>
              <w:rPr>
                <w:color w:val="000000"/>
                <w:sz w:val="20"/>
                <w:szCs w:val="20"/>
              </w:rPr>
            </w:pPr>
            <w:r w:rsidRPr="000E1168">
              <w:rPr>
                <w:color w:val="000000"/>
                <w:sz w:val="20"/>
                <w:szCs w:val="20"/>
              </w:rPr>
              <w:t>Comerciante</w:t>
            </w:r>
          </w:p>
        </w:tc>
        <w:tc>
          <w:tcPr>
            <w:tcW w:w="698"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5</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5.1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0</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0</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8</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8.1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13</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13.3</w:t>
            </w:r>
          </w:p>
        </w:tc>
      </w:tr>
      <w:tr w:rsidR="00723562" w:rsidRPr="000E1168" w:rsidTr="00CB45C6">
        <w:trPr>
          <w:jc w:val="center"/>
        </w:trPr>
        <w:tc>
          <w:tcPr>
            <w:tcW w:w="1998" w:type="dxa"/>
            <w:vMerge/>
            <w:tcBorders>
              <w:top w:val="nil"/>
              <w:left w:val="nil"/>
              <w:bottom w:val="nil"/>
              <w:right w:val="nil"/>
            </w:tcBorders>
            <w:shd w:val="clear" w:color="auto" w:fill="auto"/>
          </w:tcPr>
          <w:p w:rsidR="00723562" w:rsidRPr="000E1168" w:rsidRDefault="00723562" w:rsidP="00CB45C6">
            <w:pPr>
              <w:spacing w:before="40" w:after="40"/>
              <w:jc w:val="both"/>
              <w:rPr>
                <w:color w:val="000000"/>
                <w:sz w:val="20"/>
                <w:szCs w:val="20"/>
              </w:rPr>
            </w:pPr>
          </w:p>
        </w:tc>
        <w:tc>
          <w:tcPr>
            <w:tcW w:w="1843" w:type="dxa"/>
            <w:tcBorders>
              <w:top w:val="nil"/>
              <w:left w:val="nil"/>
              <w:bottom w:val="nil"/>
              <w:right w:val="nil"/>
            </w:tcBorders>
            <w:shd w:val="clear" w:color="auto" w:fill="auto"/>
          </w:tcPr>
          <w:p w:rsidR="00723562" w:rsidRPr="000E1168" w:rsidRDefault="00723562" w:rsidP="00CB45C6">
            <w:pPr>
              <w:spacing w:before="40" w:after="40"/>
              <w:ind w:right="-108"/>
              <w:jc w:val="both"/>
              <w:rPr>
                <w:color w:val="000000"/>
                <w:sz w:val="20"/>
                <w:szCs w:val="20"/>
              </w:rPr>
            </w:pPr>
            <w:r w:rsidRPr="000E1168">
              <w:rPr>
                <w:color w:val="000000"/>
                <w:sz w:val="20"/>
                <w:szCs w:val="20"/>
              </w:rPr>
              <w:t>Ejecutiva del hogar</w:t>
            </w:r>
          </w:p>
        </w:tc>
        <w:tc>
          <w:tcPr>
            <w:tcW w:w="698"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26</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26.5</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11.2</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7</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7.1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44</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44.9</w:t>
            </w:r>
          </w:p>
        </w:tc>
      </w:tr>
      <w:tr w:rsidR="00723562" w:rsidRPr="000E1168" w:rsidTr="00CB45C6">
        <w:trPr>
          <w:jc w:val="center"/>
        </w:trPr>
        <w:tc>
          <w:tcPr>
            <w:tcW w:w="1998" w:type="dxa"/>
            <w:vMerge/>
            <w:tcBorders>
              <w:top w:val="nil"/>
              <w:left w:val="nil"/>
              <w:bottom w:val="nil"/>
              <w:right w:val="nil"/>
            </w:tcBorders>
            <w:shd w:val="clear" w:color="auto" w:fill="auto"/>
          </w:tcPr>
          <w:p w:rsidR="00723562" w:rsidRPr="000E1168" w:rsidRDefault="00723562" w:rsidP="00CB45C6">
            <w:pPr>
              <w:spacing w:before="40" w:after="40"/>
              <w:jc w:val="both"/>
              <w:rPr>
                <w:color w:val="000000"/>
                <w:sz w:val="20"/>
                <w:szCs w:val="20"/>
              </w:rPr>
            </w:pPr>
          </w:p>
        </w:tc>
        <w:tc>
          <w:tcPr>
            <w:tcW w:w="1843" w:type="dxa"/>
            <w:tcBorders>
              <w:top w:val="nil"/>
              <w:left w:val="nil"/>
              <w:bottom w:val="nil"/>
              <w:right w:val="nil"/>
            </w:tcBorders>
            <w:shd w:val="clear" w:color="auto" w:fill="auto"/>
          </w:tcPr>
          <w:p w:rsidR="00723562" w:rsidRPr="000E1168" w:rsidRDefault="00723562" w:rsidP="00CB45C6">
            <w:pPr>
              <w:spacing w:before="40" w:after="40"/>
              <w:jc w:val="both"/>
              <w:rPr>
                <w:color w:val="000000"/>
                <w:sz w:val="20"/>
                <w:szCs w:val="20"/>
              </w:rPr>
            </w:pPr>
            <w:r w:rsidRPr="000E1168">
              <w:rPr>
                <w:color w:val="000000"/>
                <w:sz w:val="20"/>
                <w:szCs w:val="20"/>
              </w:rPr>
              <w:t>Empleada privada</w:t>
            </w:r>
          </w:p>
        </w:tc>
        <w:tc>
          <w:tcPr>
            <w:tcW w:w="698"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4</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4.1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6</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6.1</w:t>
            </w:r>
          </w:p>
        </w:tc>
      </w:tr>
      <w:tr w:rsidR="00723562" w:rsidRPr="000E1168" w:rsidTr="00CB45C6">
        <w:trPr>
          <w:jc w:val="center"/>
        </w:trPr>
        <w:tc>
          <w:tcPr>
            <w:tcW w:w="1998" w:type="dxa"/>
            <w:vMerge/>
            <w:tcBorders>
              <w:top w:val="nil"/>
              <w:left w:val="nil"/>
              <w:bottom w:val="nil"/>
              <w:right w:val="nil"/>
            </w:tcBorders>
            <w:shd w:val="clear" w:color="auto" w:fill="auto"/>
          </w:tcPr>
          <w:p w:rsidR="00723562" w:rsidRPr="000E1168" w:rsidRDefault="00723562" w:rsidP="00CB45C6">
            <w:pPr>
              <w:spacing w:before="40" w:after="40"/>
              <w:jc w:val="both"/>
              <w:rPr>
                <w:color w:val="000000"/>
                <w:sz w:val="20"/>
                <w:szCs w:val="20"/>
              </w:rPr>
            </w:pPr>
          </w:p>
        </w:tc>
        <w:tc>
          <w:tcPr>
            <w:tcW w:w="1843" w:type="dxa"/>
            <w:tcBorders>
              <w:top w:val="nil"/>
              <w:left w:val="nil"/>
              <w:bottom w:val="nil"/>
              <w:right w:val="nil"/>
            </w:tcBorders>
            <w:shd w:val="clear" w:color="auto" w:fill="auto"/>
          </w:tcPr>
          <w:p w:rsidR="00723562" w:rsidRPr="000E1168" w:rsidRDefault="00723562" w:rsidP="00CB45C6">
            <w:pPr>
              <w:spacing w:before="40" w:after="40"/>
              <w:jc w:val="both"/>
              <w:rPr>
                <w:color w:val="000000"/>
                <w:sz w:val="20"/>
                <w:szCs w:val="20"/>
              </w:rPr>
            </w:pPr>
            <w:r w:rsidRPr="000E1168">
              <w:rPr>
                <w:color w:val="000000"/>
                <w:sz w:val="20"/>
                <w:szCs w:val="20"/>
              </w:rPr>
              <w:t>Empleada pública</w:t>
            </w:r>
          </w:p>
        </w:tc>
        <w:tc>
          <w:tcPr>
            <w:tcW w:w="698"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0</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0</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2</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2.1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4</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4.1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6</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6.1</w:t>
            </w:r>
          </w:p>
        </w:tc>
      </w:tr>
      <w:tr w:rsidR="00723562" w:rsidRPr="000E1168" w:rsidTr="00CB45C6">
        <w:trPr>
          <w:jc w:val="center"/>
        </w:trPr>
        <w:tc>
          <w:tcPr>
            <w:tcW w:w="1998" w:type="dxa"/>
            <w:vMerge/>
            <w:tcBorders>
              <w:top w:val="nil"/>
              <w:left w:val="nil"/>
              <w:bottom w:val="nil"/>
              <w:right w:val="nil"/>
            </w:tcBorders>
            <w:shd w:val="clear" w:color="auto" w:fill="auto"/>
          </w:tcPr>
          <w:p w:rsidR="00723562" w:rsidRPr="000E1168" w:rsidRDefault="00723562" w:rsidP="00CB45C6">
            <w:pPr>
              <w:spacing w:before="40" w:after="40"/>
              <w:jc w:val="both"/>
              <w:rPr>
                <w:color w:val="000000"/>
                <w:sz w:val="20"/>
                <w:szCs w:val="20"/>
              </w:rPr>
            </w:pPr>
          </w:p>
        </w:tc>
        <w:tc>
          <w:tcPr>
            <w:tcW w:w="1843" w:type="dxa"/>
            <w:tcBorders>
              <w:top w:val="nil"/>
              <w:left w:val="nil"/>
              <w:bottom w:val="nil"/>
              <w:right w:val="nil"/>
            </w:tcBorders>
            <w:shd w:val="clear" w:color="auto" w:fill="auto"/>
          </w:tcPr>
          <w:p w:rsidR="00723562" w:rsidRPr="000E1168" w:rsidRDefault="00723562" w:rsidP="00CB45C6">
            <w:pPr>
              <w:spacing w:before="40" w:after="40"/>
              <w:ind w:right="-108"/>
              <w:jc w:val="both"/>
              <w:rPr>
                <w:color w:val="000000"/>
                <w:sz w:val="20"/>
                <w:szCs w:val="20"/>
              </w:rPr>
            </w:pPr>
            <w:r w:rsidRPr="000E1168">
              <w:rPr>
                <w:color w:val="000000"/>
                <w:sz w:val="20"/>
                <w:szCs w:val="20"/>
              </w:rPr>
              <w:t>Empleada doméstica</w:t>
            </w:r>
          </w:p>
        </w:tc>
        <w:tc>
          <w:tcPr>
            <w:tcW w:w="698"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0</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0</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0</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0</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1.1</w:t>
            </w:r>
          </w:p>
        </w:tc>
      </w:tr>
      <w:tr w:rsidR="00723562" w:rsidRPr="000E1168" w:rsidTr="00CB45C6">
        <w:trPr>
          <w:jc w:val="center"/>
        </w:trPr>
        <w:tc>
          <w:tcPr>
            <w:tcW w:w="1998" w:type="dxa"/>
            <w:vMerge/>
            <w:tcBorders>
              <w:top w:val="nil"/>
              <w:left w:val="nil"/>
              <w:bottom w:val="nil"/>
              <w:right w:val="nil"/>
            </w:tcBorders>
            <w:shd w:val="clear" w:color="auto" w:fill="auto"/>
          </w:tcPr>
          <w:p w:rsidR="00723562" w:rsidRPr="000E1168" w:rsidRDefault="00723562" w:rsidP="00CB45C6">
            <w:pPr>
              <w:spacing w:before="40" w:after="40"/>
              <w:jc w:val="both"/>
              <w:rPr>
                <w:color w:val="000000"/>
                <w:sz w:val="20"/>
                <w:szCs w:val="20"/>
              </w:rPr>
            </w:pPr>
          </w:p>
        </w:tc>
        <w:tc>
          <w:tcPr>
            <w:tcW w:w="1843" w:type="dxa"/>
            <w:tcBorders>
              <w:top w:val="nil"/>
              <w:left w:val="nil"/>
              <w:bottom w:val="nil"/>
              <w:right w:val="nil"/>
            </w:tcBorders>
            <w:shd w:val="clear" w:color="auto" w:fill="auto"/>
          </w:tcPr>
          <w:p w:rsidR="00723562" w:rsidRPr="000E1168" w:rsidRDefault="00723562" w:rsidP="00CB45C6">
            <w:pPr>
              <w:spacing w:before="40" w:after="40"/>
              <w:jc w:val="both"/>
              <w:rPr>
                <w:color w:val="000000"/>
                <w:sz w:val="20"/>
                <w:szCs w:val="20"/>
              </w:rPr>
            </w:pPr>
            <w:r w:rsidRPr="000E1168">
              <w:rPr>
                <w:color w:val="000000"/>
                <w:sz w:val="20"/>
                <w:szCs w:val="20"/>
              </w:rPr>
              <w:t>Oficio propio</w:t>
            </w:r>
          </w:p>
        </w:tc>
        <w:tc>
          <w:tcPr>
            <w:tcW w:w="698"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4</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4.1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6</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6.1</w:t>
            </w:r>
          </w:p>
        </w:tc>
      </w:tr>
      <w:tr w:rsidR="00723562" w:rsidRPr="000E1168" w:rsidTr="00CB45C6">
        <w:trPr>
          <w:jc w:val="center"/>
        </w:trPr>
        <w:tc>
          <w:tcPr>
            <w:tcW w:w="1998" w:type="dxa"/>
            <w:vMerge/>
            <w:tcBorders>
              <w:top w:val="nil"/>
              <w:left w:val="nil"/>
              <w:right w:val="nil"/>
            </w:tcBorders>
            <w:shd w:val="clear" w:color="auto" w:fill="auto"/>
          </w:tcPr>
          <w:p w:rsidR="00723562" w:rsidRPr="000E1168" w:rsidRDefault="00723562" w:rsidP="00CB45C6">
            <w:pPr>
              <w:spacing w:before="40" w:after="40"/>
              <w:jc w:val="both"/>
              <w:rPr>
                <w:color w:val="000000"/>
                <w:sz w:val="20"/>
                <w:szCs w:val="20"/>
              </w:rPr>
            </w:pPr>
          </w:p>
        </w:tc>
        <w:tc>
          <w:tcPr>
            <w:tcW w:w="1843" w:type="dxa"/>
            <w:tcBorders>
              <w:top w:val="nil"/>
              <w:left w:val="nil"/>
              <w:right w:val="nil"/>
            </w:tcBorders>
            <w:shd w:val="clear" w:color="auto" w:fill="auto"/>
          </w:tcPr>
          <w:p w:rsidR="00723562" w:rsidRPr="000E1168" w:rsidRDefault="00723562" w:rsidP="00CB45C6">
            <w:pPr>
              <w:spacing w:before="40" w:after="40"/>
              <w:jc w:val="both"/>
              <w:rPr>
                <w:color w:val="000000"/>
                <w:sz w:val="20"/>
                <w:szCs w:val="20"/>
              </w:rPr>
            </w:pPr>
            <w:r w:rsidRPr="000E1168">
              <w:rPr>
                <w:color w:val="000000"/>
                <w:sz w:val="20"/>
                <w:szCs w:val="20"/>
              </w:rPr>
              <w:t>Estudiante</w:t>
            </w:r>
          </w:p>
        </w:tc>
        <w:tc>
          <w:tcPr>
            <w:tcW w:w="698" w:type="dxa"/>
            <w:tcBorders>
              <w:top w:val="nil"/>
              <w:left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0</w:t>
            </w:r>
          </w:p>
        </w:tc>
        <w:tc>
          <w:tcPr>
            <w:tcW w:w="699" w:type="dxa"/>
            <w:tcBorders>
              <w:top w:val="nil"/>
              <w:left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0</w:t>
            </w:r>
          </w:p>
        </w:tc>
        <w:tc>
          <w:tcPr>
            <w:tcW w:w="699" w:type="dxa"/>
            <w:tcBorders>
              <w:top w:val="nil"/>
              <w:left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4</w:t>
            </w:r>
          </w:p>
        </w:tc>
        <w:tc>
          <w:tcPr>
            <w:tcW w:w="699" w:type="dxa"/>
            <w:tcBorders>
              <w:top w:val="nil"/>
              <w:left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4.1</w:t>
            </w:r>
          </w:p>
        </w:tc>
        <w:tc>
          <w:tcPr>
            <w:tcW w:w="699" w:type="dxa"/>
            <w:tcBorders>
              <w:top w:val="nil"/>
              <w:left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0</w:t>
            </w:r>
          </w:p>
        </w:tc>
        <w:tc>
          <w:tcPr>
            <w:tcW w:w="699" w:type="dxa"/>
            <w:tcBorders>
              <w:top w:val="nil"/>
              <w:left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0</w:t>
            </w:r>
          </w:p>
        </w:tc>
        <w:tc>
          <w:tcPr>
            <w:tcW w:w="699" w:type="dxa"/>
            <w:tcBorders>
              <w:top w:val="nil"/>
              <w:left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4</w:t>
            </w:r>
          </w:p>
        </w:tc>
        <w:tc>
          <w:tcPr>
            <w:tcW w:w="699" w:type="dxa"/>
            <w:tcBorders>
              <w:top w:val="nil"/>
              <w:left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4.1</w:t>
            </w:r>
          </w:p>
        </w:tc>
      </w:tr>
      <w:tr w:rsidR="00723562" w:rsidRPr="000E1168" w:rsidTr="00CB45C6">
        <w:trPr>
          <w:jc w:val="center"/>
        </w:trPr>
        <w:tc>
          <w:tcPr>
            <w:tcW w:w="1998" w:type="dxa"/>
            <w:vMerge w:val="restart"/>
            <w:tcBorders>
              <w:left w:val="nil"/>
              <w:bottom w:val="nil"/>
              <w:right w:val="nil"/>
            </w:tcBorders>
            <w:shd w:val="clear" w:color="auto" w:fill="auto"/>
          </w:tcPr>
          <w:p w:rsidR="00723562" w:rsidRPr="000E1168" w:rsidRDefault="00723562" w:rsidP="00CB45C6">
            <w:pPr>
              <w:spacing w:before="40" w:after="40"/>
              <w:jc w:val="both"/>
              <w:rPr>
                <w:color w:val="000000"/>
                <w:sz w:val="20"/>
                <w:szCs w:val="20"/>
              </w:rPr>
            </w:pPr>
          </w:p>
          <w:p w:rsidR="00723562" w:rsidRPr="000E1168" w:rsidRDefault="00723562" w:rsidP="00CB45C6">
            <w:pPr>
              <w:spacing w:before="40" w:after="40"/>
              <w:jc w:val="both"/>
              <w:rPr>
                <w:color w:val="000000"/>
                <w:sz w:val="20"/>
                <w:szCs w:val="20"/>
              </w:rPr>
            </w:pPr>
          </w:p>
          <w:p w:rsidR="00723562" w:rsidRPr="000E1168" w:rsidRDefault="00723562" w:rsidP="00CB45C6">
            <w:pPr>
              <w:spacing w:before="40" w:after="40"/>
              <w:jc w:val="both"/>
              <w:rPr>
                <w:color w:val="000000"/>
                <w:sz w:val="20"/>
                <w:szCs w:val="20"/>
              </w:rPr>
            </w:pPr>
          </w:p>
          <w:p w:rsidR="00723562" w:rsidRPr="000E1168" w:rsidRDefault="00723562" w:rsidP="00CB45C6">
            <w:pPr>
              <w:spacing w:before="40" w:after="40"/>
              <w:jc w:val="both"/>
              <w:rPr>
                <w:color w:val="000000"/>
                <w:sz w:val="20"/>
                <w:szCs w:val="20"/>
              </w:rPr>
            </w:pPr>
          </w:p>
          <w:p w:rsidR="00723562" w:rsidRPr="000E1168" w:rsidRDefault="00723562" w:rsidP="00CB45C6">
            <w:pPr>
              <w:spacing w:before="40" w:after="40"/>
              <w:jc w:val="both"/>
              <w:rPr>
                <w:color w:val="000000"/>
                <w:sz w:val="20"/>
                <w:szCs w:val="20"/>
              </w:rPr>
            </w:pPr>
            <w:r w:rsidRPr="000E1168">
              <w:rPr>
                <w:color w:val="000000"/>
                <w:sz w:val="20"/>
                <w:szCs w:val="20"/>
              </w:rPr>
              <w:t>Ocupación del padre</w:t>
            </w:r>
          </w:p>
        </w:tc>
        <w:tc>
          <w:tcPr>
            <w:tcW w:w="1843" w:type="dxa"/>
            <w:tcBorders>
              <w:left w:val="nil"/>
              <w:bottom w:val="nil"/>
              <w:right w:val="nil"/>
            </w:tcBorders>
            <w:shd w:val="clear" w:color="auto" w:fill="auto"/>
          </w:tcPr>
          <w:p w:rsidR="00723562" w:rsidRPr="000E1168" w:rsidRDefault="00723562" w:rsidP="00CB45C6">
            <w:pPr>
              <w:spacing w:before="40" w:after="40"/>
              <w:jc w:val="both"/>
              <w:rPr>
                <w:color w:val="000000"/>
                <w:sz w:val="20"/>
                <w:szCs w:val="20"/>
              </w:rPr>
            </w:pPr>
            <w:r w:rsidRPr="000E1168">
              <w:rPr>
                <w:color w:val="000000"/>
                <w:sz w:val="20"/>
                <w:szCs w:val="20"/>
              </w:rPr>
              <w:t>Profesional</w:t>
            </w:r>
          </w:p>
        </w:tc>
        <w:tc>
          <w:tcPr>
            <w:tcW w:w="698" w:type="dxa"/>
            <w:tcBorders>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w:t>
            </w:r>
          </w:p>
        </w:tc>
        <w:tc>
          <w:tcPr>
            <w:tcW w:w="699" w:type="dxa"/>
            <w:tcBorders>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1.1</w:t>
            </w:r>
          </w:p>
        </w:tc>
        <w:tc>
          <w:tcPr>
            <w:tcW w:w="699" w:type="dxa"/>
            <w:tcBorders>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6</w:t>
            </w:r>
          </w:p>
        </w:tc>
        <w:tc>
          <w:tcPr>
            <w:tcW w:w="699" w:type="dxa"/>
            <w:tcBorders>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6.1</w:t>
            </w:r>
          </w:p>
        </w:tc>
        <w:tc>
          <w:tcPr>
            <w:tcW w:w="699" w:type="dxa"/>
            <w:tcBorders>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18</w:t>
            </w:r>
          </w:p>
        </w:tc>
        <w:tc>
          <w:tcPr>
            <w:tcW w:w="699" w:type="dxa"/>
            <w:tcBorders>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18.3</w:t>
            </w:r>
          </w:p>
        </w:tc>
        <w:tc>
          <w:tcPr>
            <w:tcW w:w="699" w:type="dxa"/>
            <w:tcBorders>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25</w:t>
            </w:r>
          </w:p>
        </w:tc>
        <w:tc>
          <w:tcPr>
            <w:tcW w:w="699" w:type="dxa"/>
            <w:tcBorders>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25.5</w:t>
            </w:r>
          </w:p>
        </w:tc>
      </w:tr>
      <w:tr w:rsidR="00723562" w:rsidRPr="000E1168" w:rsidTr="00CB45C6">
        <w:trPr>
          <w:jc w:val="center"/>
        </w:trPr>
        <w:tc>
          <w:tcPr>
            <w:tcW w:w="1998" w:type="dxa"/>
            <w:vMerge/>
            <w:tcBorders>
              <w:top w:val="nil"/>
              <w:left w:val="nil"/>
              <w:bottom w:val="nil"/>
              <w:right w:val="nil"/>
            </w:tcBorders>
            <w:shd w:val="clear" w:color="auto" w:fill="auto"/>
          </w:tcPr>
          <w:p w:rsidR="00723562" w:rsidRPr="000E1168" w:rsidRDefault="00723562" w:rsidP="00CB45C6">
            <w:pPr>
              <w:spacing w:before="40" w:after="40"/>
              <w:jc w:val="both"/>
              <w:rPr>
                <w:color w:val="000000"/>
                <w:sz w:val="20"/>
                <w:szCs w:val="20"/>
              </w:rPr>
            </w:pPr>
          </w:p>
        </w:tc>
        <w:tc>
          <w:tcPr>
            <w:tcW w:w="1843" w:type="dxa"/>
            <w:tcBorders>
              <w:top w:val="nil"/>
              <w:left w:val="nil"/>
              <w:bottom w:val="nil"/>
              <w:right w:val="nil"/>
            </w:tcBorders>
            <w:shd w:val="clear" w:color="auto" w:fill="auto"/>
          </w:tcPr>
          <w:p w:rsidR="00723562" w:rsidRPr="000E1168" w:rsidRDefault="00723562" w:rsidP="00CB45C6">
            <w:pPr>
              <w:spacing w:before="40" w:after="40"/>
              <w:jc w:val="both"/>
              <w:rPr>
                <w:color w:val="000000"/>
                <w:sz w:val="20"/>
                <w:szCs w:val="20"/>
              </w:rPr>
            </w:pPr>
            <w:r w:rsidRPr="000E1168">
              <w:rPr>
                <w:color w:val="000000"/>
                <w:sz w:val="20"/>
                <w:szCs w:val="20"/>
              </w:rPr>
              <w:t>Comerciante</w:t>
            </w:r>
          </w:p>
        </w:tc>
        <w:tc>
          <w:tcPr>
            <w:tcW w:w="698"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9</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9.1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2</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2.1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4</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4.1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15</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15.3</w:t>
            </w:r>
          </w:p>
        </w:tc>
      </w:tr>
      <w:tr w:rsidR="00723562" w:rsidRPr="000E1168" w:rsidTr="00CB45C6">
        <w:trPr>
          <w:jc w:val="center"/>
        </w:trPr>
        <w:tc>
          <w:tcPr>
            <w:tcW w:w="1998" w:type="dxa"/>
            <w:vMerge/>
            <w:tcBorders>
              <w:top w:val="nil"/>
              <w:left w:val="nil"/>
              <w:bottom w:val="nil"/>
              <w:right w:val="nil"/>
            </w:tcBorders>
            <w:shd w:val="clear" w:color="auto" w:fill="auto"/>
          </w:tcPr>
          <w:p w:rsidR="00723562" w:rsidRPr="000E1168" w:rsidRDefault="00723562" w:rsidP="00CB45C6">
            <w:pPr>
              <w:spacing w:before="40" w:after="40"/>
              <w:jc w:val="both"/>
              <w:rPr>
                <w:color w:val="000000"/>
                <w:sz w:val="20"/>
                <w:szCs w:val="20"/>
              </w:rPr>
            </w:pPr>
          </w:p>
        </w:tc>
        <w:tc>
          <w:tcPr>
            <w:tcW w:w="1843" w:type="dxa"/>
            <w:tcBorders>
              <w:top w:val="nil"/>
              <w:left w:val="nil"/>
              <w:bottom w:val="nil"/>
              <w:right w:val="nil"/>
            </w:tcBorders>
            <w:shd w:val="clear" w:color="auto" w:fill="auto"/>
          </w:tcPr>
          <w:p w:rsidR="00723562" w:rsidRPr="000E1168" w:rsidRDefault="00723562" w:rsidP="00CB45C6">
            <w:pPr>
              <w:spacing w:before="40" w:after="40"/>
              <w:jc w:val="both"/>
              <w:rPr>
                <w:color w:val="000000"/>
                <w:sz w:val="20"/>
                <w:szCs w:val="20"/>
              </w:rPr>
            </w:pPr>
            <w:r w:rsidRPr="000E1168">
              <w:rPr>
                <w:color w:val="000000"/>
                <w:sz w:val="20"/>
                <w:szCs w:val="20"/>
              </w:rPr>
              <w:t>Empleado privado</w:t>
            </w:r>
          </w:p>
        </w:tc>
        <w:tc>
          <w:tcPr>
            <w:tcW w:w="698"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5</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5.1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5</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5.1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12</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12.2</w:t>
            </w:r>
          </w:p>
        </w:tc>
      </w:tr>
      <w:tr w:rsidR="00723562" w:rsidRPr="000E1168" w:rsidTr="00CB45C6">
        <w:trPr>
          <w:jc w:val="center"/>
        </w:trPr>
        <w:tc>
          <w:tcPr>
            <w:tcW w:w="1998" w:type="dxa"/>
            <w:vMerge/>
            <w:tcBorders>
              <w:top w:val="nil"/>
              <w:left w:val="nil"/>
              <w:bottom w:val="nil"/>
              <w:right w:val="nil"/>
            </w:tcBorders>
            <w:shd w:val="clear" w:color="auto" w:fill="auto"/>
          </w:tcPr>
          <w:p w:rsidR="00723562" w:rsidRPr="000E1168" w:rsidRDefault="00723562" w:rsidP="00CB45C6">
            <w:pPr>
              <w:spacing w:before="40" w:after="40"/>
              <w:jc w:val="both"/>
              <w:rPr>
                <w:color w:val="000000"/>
                <w:sz w:val="20"/>
                <w:szCs w:val="20"/>
              </w:rPr>
            </w:pPr>
          </w:p>
        </w:tc>
        <w:tc>
          <w:tcPr>
            <w:tcW w:w="1843" w:type="dxa"/>
            <w:tcBorders>
              <w:top w:val="nil"/>
              <w:left w:val="nil"/>
              <w:bottom w:val="nil"/>
              <w:right w:val="nil"/>
            </w:tcBorders>
            <w:shd w:val="clear" w:color="auto" w:fill="auto"/>
          </w:tcPr>
          <w:p w:rsidR="00723562" w:rsidRPr="000E1168" w:rsidRDefault="00723562" w:rsidP="00CB45C6">
            <w:pPr>
              <w:spacing w:before="40" w:after="40"/>
              <w:jc w:val="both"/>
              <w:rPr>
                <w:color w:val="000000"/>
                <w:sz w:val="20"/>
                <w:szCs w:val="20"/>
              </w:rPr>
            </w:pPr>
            <w:r w:rsidRPr="000E1168">
              <w:rPr>
                <w:color w:val="000000"/>
                <w:sz w:val="20"/>
                <w:szCs w:val="20"/>
              </w:rPr>
              <w:t>Empleado público</w:t>
            </w:r>
          </w:p>
        </w:tc>
        <w:tc>
          <w:tcPr>
            <w:tcW w:w="698"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0</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0</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5</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5.1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7</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7.1</w:t>
            </w:r>
          </w:p>
        </w:tc>
      </w:tr>
      <w:tr w:rsidR="00723562" w:rsidRPr="000E1168" w:rsidTr="00CB45C6">
        <w:trPr>
          <w:jc w:val="center"/>
        </w:trPr>
        <w:tc>
          <w:tcPr>
            <w:tcW w:w="1998" w:type="dxa"/>
            <w:vMerge/>
            <w:tcBorders>
              <w:top w:val="nil"/>
              <w:left w:val="nil"/>
              <w:bottom w:val="nil"/>
              <w:right w:val="nil"/>
            </w:tcBorders>
            <w:shd w:val="clear" w:color="auto" w:fill="auto"/>
          </w:tcPr>
          <w:p w:rsidR="00723562" w:rsidRPr="000E1168" w:rsidRDefault="00723562" w:rsidP="00CB45C6">
            <w:pPr>
              <w:spacing w:before="40" w:after="40"/>
              <w:jc w:val="both"/>
              <w:rPr>
                <w:color w:val="000000"/>
                <w:sz w:val="20"/>
                <w:szCs w:val="20"/>
              </w:rPr>
            </w:pPr>
          </w:p>
        </w:tc>
        <w:tc>
          <w:tcPr>
            <w:tcW w:w="1843" w:type="dxa"/>
            <w:tcBorders>
              <w:top w:val="nil"/>
              <w:left w:val="nil"/>
              <w:bottom w:val="nil"/>
              <w:right w:val="nil"/>
            </w:tcBorders>
            <w:shd w:val="clear" w:color="auto" w:fill="auto"/>
          </w:tcPr>
          <w:p w:rsidR="00723562" w:rsidRPr="000E1168" w:rsidRDefault="00723562" w:rsidP="00CB45C6">
            <w:pPr>
              <w:spacing w:before="40" w:after="40"/>
              <w:jc w:val="both"/>
              <w:rPr>
                <w:color w:val="000000"/>
                <w:sz w:val="20"/>
                <w:szCs w:val="20"/>
              </w:rPr>
            </w:pPr>
            <w:r w:rsidRPr="000E1168">
              <w:rPr>
                <w:color w:val="000000"/>
                <w:sz w:val="20"/>
                <w:szCs w:val="20"/>
              </w:rPr>
              <w:t>Oficio propio</w:t>
            </w:r>
          </w:p>
        </w:tc>
        <w:tc>
          <w:tcPr>
            <w:tcW w:w="698"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12</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12.2</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3</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3.1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2</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2.1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17</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17.3</w:t>
            </w:r>
          </w:p>
        </w:tc>
      </w:tr>
      <w:tr w:rsidR="00723562" w:rsidRPr="000E1168" w:rsidTr="00CB45C6">
        <w:trPr>
          <w:jc w:val="center"/>
        </w:trPr>
        <w:tc>
          <w:tcPr>
            <w:tcW w:w="1998" w:type="dxa"/>
            <w:vMerge/>
            <w:tcBorders>
              <w:top w:val="nil"/>
              <w:left w:val="nil"/>
              <w:bottom w:val="nil"/>
              <w:right w:val="nil"/>
            </w:tcBorders>
            <w:shd w:val="clear" w:color="auto" w:fill="auto"/>
          </w:tcPr>
          <w:p w:rsidR="00723562" w:rsidRPr="000E1168" w:rsidRDefault="00723562" w:rsidP="00CB45C6">
            <w:pPr>
              <w:spacing w:before="40" w:after="40"/>
              <w:jc w:val="both"/>
              <w:rPr>
                <w:color w:val="000000"/>
                <w:sz w:val="20"/>
                <w:szCs w:val="20"/>
              </w:rPr>
            </w:pPr>
          </w:p>
        </w:tc>
        <w:tc>
          <w:tcPr>
            <w:tcW w:w="1843" w:type="dxa"/>
            <w:tcBorders>
              <w:top w:val="nil"/>
              <w:left w:val="nil"/>
              <w:bottom w:val="nil"/>
              <w:right w:val="nil"/>
            </w:tcBorders>
            <w:shd w:val="clear" w:color="auto" w:fill="auto"/>
          </w:tcPr>
          <w:p w:rsidR="00723562" w:rsidRPr="000E1168" w:rsidRDefault="00723562" w:rsidP="00CB45C6">
            <w:pPr>
              <w:spacing w:before="40" w:after="40"/>
              <w:ind w:right="-108"/>
              <w:jc w:val="both"/>
              <w:rPr>
                <w:color w:val="000000"/>
                <w:sz w:val="20"/>
                <w:szCs w:val="20"/>
              </w:rPr>
            </w:pPr>
            <w:r w:rsidRPr="000E1168">
              <w:rPr>
                <w:color w:val="000000"/>
                <w:sz w:val="20"/>
                <w:szCs w:val="20"/>
              </w:rPr>
              <w:t>Chofer</w:t>
            </w:r>
          </w:p>
        </w:tc>
        <w:tc>
          <w:tcPr>
            <w:tcW w:w="698"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4</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4.1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3</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3.1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4</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4.1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11.2</w:t>
            </w:r>
          </w:p>
        </w:tc>
      </w:tr>
      <w:tr w:rsidR="00723562" w:rsidRPr="000E1168" w:rsidTr="00CB45C6">
        <w:trPr>
          <w:jc w:val="center"/>
        </w:trPr>
        <w:tc>
          <w:tcPr>
            <w:tcW w:w="1998" w:type="dxa"/>
            <w:vMerge/>
            <w:tcBorders>
              <w:top w:val="nil"/>
              <w:left w:val="nil"/>
              <w:bottom w:val="nil"/>
              <w:right w:val="nil"/>
            </w:tcBorders>
            <w:shd w:val="clear" w:color="auto" w:fill="auto"/>
          </w:tcPr>
          <w:p w:rsidR="00723562" w:rsidRPr="000E1168" w:rsidRDefault="00723562" w:rsidP="00CB45C6">
            <w:pPr>
              <w:spacing w:before="40" w:after="40"/>
              <w:jc w:val="both"/>
              <w:rPr>
                <w:color w:val="000000"/>
                <w:sz w:val="20"/>
                <w:szCs w:val="20"/>
              </w:rPr>
            </w:pPr>
          </w:p>
        </w:tc>
        <w:tc>
          <w:tcPr>
            <w:tcW w:w="1843" w:type="dxa"/>
            <w:tcBorders>
              <w:top w:val="nil"/>
              <w:left w:val="nil"/>
              <w:bottom w:val="nil"/>
              <w:right w:val="nil"/>
            </w:tcBorders>
            <w:shd w:val="clear" w:color="auto" w:fill="auto"/>
          </w:tcPr>
          <w:p w:rsidR="00723562" w:rsidRPr="000E1168" w:rsidRDefault="00723562" w:rsidP="00CB45C6">
            <w:pPr>
              <w:spacing w:before="40" w:after="40"/>
              <w:jc w:val="both"/>
              <w:rPr>
                <w:color w:val="000000"/>
                <w:sz w:val="20"/>
                <w:szCs w:val="20"/>
              </w:rPr>
            </w:pPr>
            <w:r w:rsidRPr="000E1168">
              <w:rPr>
                <w:color w:val="000000"/>
                <w:sz w:val="20"/>
                <w:szCs w:val="20"/>
              </w:rPr>
              <w:t>Pescador</w:t>
            </w:r>
          </w:p>
        </w:tc>
        <w:tc>
          <w:tcPr>
            <w:tcW w:w="698"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6</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6.1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3</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3.1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0</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0</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9</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9.2</w:t>
            </w:r>
          </w:p>
        </w:tc>
      </w:tr>
      <w:tr w:rsidR="00723562" w:rsidRPr="000E1168" w:rsidTr="00CB45C6">
        <w:trPr>
          <w:jc w:val="center"/>
        </w:trPr>
        <w:tc>
          <w:tcPr>
            <w:tcW w:w="1998" w:type="dxa"/>
            <w:vMerge/>
            <w:tcBorders>
              <w:top w:val="nil"/>
              <w:left w:val="nil"/>
              <w:right w:val="nil"/>
            </w:tcBorders>
            <w:shd w:val="clear" w:color="auto" w:fill="auto"/>
          </w:tcPr>
          <w:p w:rsidR="00723562" w:rsidRPr="000E1168" w:rsidRDefault="00723562" w:rsidP="00CB45C6">
            <w:pPr>
              <w:spacing w:before="40" w:after="40"/>
              <w:jc w:val="both"/>
              <w:rPr>
                <w:color w:val="000000"/>
                <w:sz w:val="20"/>
                <w:szCs w:val="20"/>
              </w:rPr>
            </w:pPr>
          </w:p>
        </w:tc>
        <w:tc>
          <w:tcPr>
            <w:tcW w:w="1843" w:type="dxa"/>
            <w:tcBorders>
              <w:top w:val="nil"/>
              <w:left w:val="nil"/>
              <w:right w:val="nil"/>
            </w:tcBorders>
            <w:shd w:val="clear" w:color="auto" w:fill="auto"/>
          </w:tcPr>
          <w:p w:rsidR="00723562" w:rsidRPr="000E1168" w:rsidRDefault="00723562" w:rsidP="00CB45C6">
            <w:pPr>
              <w:spacing w:before="40" w:after="40"/>
              <w:jc w:val="both"/>
              <w:rPr>
                <w:color w:val="000000"/>
                <w:sz w:val="20"/>
                <w:szCs w:val="20"/>
              </w:rPr>
            </w:pPr>
            <w:r w:rsidRPr="000E1168">
              <w:rPr>
                <w:color w:val="000000"/>
                <w:sz w:val="20"/>
                <w:szCs w:val="20"/>
              </w:rPr>
              <w:t>Estudiante</w:t>
            </w:r>
          </w:p>
        </w:tc>
        <w:tc>
          <w:tcPr>
            <w:tcW w:w="698" w:type="dxa"/>
            <w:tcBorders>
              <w:top w:val="nil"/>
              <w:left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0</w:t>
            </w:r>
          </w:p>
        </w:tc>
        <w:tc>
          <w:tcPr>
            <w:tcW w:w="699" w:type="dxa"/>
            <w:tcBorders>
              <w:top w:val="nil"/>
              <w:left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0</w:t>
            </w:r>
          </w:p>
        </w:tc>
        <w:tc>
          <w:tcPr>
            <w:tcW w:w="699" w:type="dxa"/>
            <w:tcBorders>
              <w:top w:val="nil"/>
              <w:left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2</w:t>
            </w:r>
          </w:p>
        </w:tc>
        <w:tc>
          <w:tcPr>
            <w:tcW w:w="699" w:type="dxa"/>
            <w:tcBorders>
              <w:top w:val="nil"/>
              <w:left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2.1</w:t>
            </w:r>
          </w:p>
        </w:tc>
        <w:tc>
          <w:tcPr>
            <w:tcW w:w="699" w:type="dxa"/>
            <w:tcBorders>
              <w:top w:val="nil"/>
              <w:left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0</w:t>
            </w:r>
          </w:p>
        </w:tc>
        <w:tc>
          <w:tcPr>
            <w:tcW w:w="699" w:type="dxa"/>
            <w:tcBorders>
              <w:top w:val="nil"/>
              <w:left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0</w:t>
            </w:r>
          </w:p>
        </w:tc>
        <w:tc>
          <w:tcPr>
            <w:tcW w:w="699" w:type="dxa"/>
            <w:tcBorders>
              <w:top w:val="nil"/>
              <w:left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2</w:t>
            </w:r>
          </w:p>
        </w:tc>
        <w:tc>
          <w:tcPr>
            <w:tcW w:w="699" w:type="dxa"/>
            <w:tcBorders>
              <w:top w:val="nil"/>
              <w:left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2.1</w:t>
            </w:r>
          </w:p>
        </w:tc>
      </w:tr>
      <w:tr w:rsidR="00723562" w:rsidRPr="000E1168" w:rsidTr="00CB45C6">
        <w:trPr>
          <w:jc w:val="center"/>
        </w:trPr>
        <w:tc>
          <w:tcPr>
            <w:tcW w:w="1998" w:type="dxa"/>
            <w:vMerge w:val="restart"/>
            <w:tcBorders>
              <w:left w:val="nil"/>
              <w:bottom w:val="nil"/>
              <w:right w:val="nil"/>
            </w:tcBorders>
            <w:shd w:val="clear" w:color="auto" w:fill="auto"/>
          </w:tcPr>
          <w:p w:rsidR="00723562" w:rsidRPr="000E1168" w:rsidRDefault="00723562" w:rsidP="00CB45C6">
            <w:pPr>
              <w:spacing w:before="40" w:after="40"/>
              <w:rPr>
                <w:color w:val="000000"/>
                <w:sz w:val="20"/>
                <w:szCs w:val="20"/>
              </w:rPr>
            </w:pPr>
          </w:p>
          <w:p w:rsidR="00723562" w:rsidRPr="000E1168" w:rsidRDefault="00723562" w:rsidP="00CB45C6">
            <w:pPr>
              <w:spacing w:before="40" w:after="40"/>
              <w:rPr>
                <w:color w:val="000000"/>
                <w:sz w:val="20"/>
                <w:szCs w:val="20"/>
              </w:rPr>
            </w:pPr>
            <w:r w:rsidRPr="000E1168">
              <w:rPr>
                <w:color w:val="000000"/>
                <w:sz w:val="20"/>
                <w:szCs w:val="20"/>
              </w:rPr>
              <w:t>Nivel escolar de la madre</w:t>
            </w:r>
          </w:p>
        </w:tc>
        <w:tc>
          <w:tcPr>
            <w:tcW w:w="1843" w:type="dxa"/>
            <w:tcBorders>
              <w:left w:val="nil"/>
              <w:bottom w:val="nil"/>
              <w:right w:val="nil"/>
            </w:tcBorders>
            <w:shd w:val="clear" w:color="auto" w:fill="auto"/>
          </w:tcPr>
          <w:p w:rsidR="00723562" w:rsidRPr="000E1168" w:rsidRDefault="00723562" w:rsidP="00CB45C6">
            <w:pPr>
              <w:spacing w:before="40" w:after="40"/>
              <w:jc w:val="both"/>
              <w:rPr>
                <w:color w:val="000000"/>
                <w:sz w:val="20"/>
                <w:szCs w:val="20"/>
              </w:rPr>
            </w:pPr>
            <w:r w:rsidRPr="000E1168">
              <w:rPr>
                <w:color w:val="000000"/>
                <w:sz w:val="20"/>
                <w:szCs w:val="20"/>
              </w:rPr>
              <w:t>Primer nivel</w:t>
            </w:r>
          </w:p>
        </w:tc>
        <w:tc>
          <w:tcPr>
            <w:tcW w:w="698" w:type="dxa"/>
            <w:tcBorders>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16</w:t>
            </w:r>
          </w:p>
        </w:tc>
        <w:tc>
          <w:tcPr>
            <w:tcW w:w="699" w:type="dxa"/>
            <w:tcBorders>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16.3</w:t>
            </w:r>
          </w:p>
        </w:tc>
        <w:tc>
          <w:tcPr>
            <w:tcW w:w="699" w:type="dxa"/>
            <w:tcBorders>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4</w:t>
            </w:r>
          </w:p>
        </w:tc>
        <w:tc>
          <w:tcPr>
            <w:tcW w:w="699" w:type="dxa"/>
            <w:tcBorders>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4.1</w:t>
            </w:r>
          </w:p>
        </w:tc>
        <w:tc>
          <w:tcPr>
            <w:tcW w:w="699" w:type="dxa"/>
            <w:tcBorders>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0</w:t>
            </w:r>
          </w:p>
        </w:tc>
        <w:tc>
          <w:tcPr>
            <w:tcW w:w="699" w:type="dxa"/>
            <w:tcBorders>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0</w:t>
            </w:r>
          </w:p>
        </w:tc>
        <w:tc>
          <w:tcPr>
            <w:tcW w:w="699" w:type="dxa"/>
            <w:tcBorders>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20</w:t>
            </w:r>
          </w:p>
        </w:tc>
        <w:tc>
          <w:tcPr>
            <w:tcW w:w="699" w:type="dxa"/>
            <w:tcBorders>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20.4</w:t>
            </w:r>
          </w:p>
        </w:tc>
      </w:tr>
      <w:tr w:rsidR="00723562" w:rsidRPr="000E1168" w:rsidTr="00CB45C6">
        <w:trPr>
          <w:jc w:val="center"/>
        </w:trPr>
        <w:tc>
          <w:tcPr>
            <w:tcW w:w="1998" w:type="dxa"/>
            <w:vMerge/>
            <w:tcBorders>
              <w:top w:val="nil"/>
              <w:left w:val="nil"/>
              <w:bottom w:val="nil"/>
              <w:right w:val="nil"/>
            </w:tcBorders>
            <w:shd w:val="clear" w:color="auto" w:fill="auto"/>
          </w:tcPr>
          <w:p w:rsidR="00723562" w:rsidRPr="000E1168" w:rsidRDefault="00723562" w:rsidP="00CB45C6">
            <w:pPr>
              <w:spacing w:before="40" w:after="40"/>
              <w:rPr>
                <w:color w:val="000000"/>
                <w:sz w:val="20"/>
                <w:szCs w:val="20"/>
              </w:rPr>
            </w:pPr>
          </w:p>
        </w:tc>
        <w:tc>
          <w:tcPr>
            <w:tcW w:w="1843" w:type="dxa"/>
            <w:tcBorders>
              <w:top w:val="nil"/>
              <w:left w:val="nil"/>
              <w:bottom w:val="nil"/>
              <w:right w:val="nil"/>
            </w:tcBorders>
            <w:shd w:val="clear" w:color="auto" w:fill="auto"/>
          </w:tcPr>
          <w:p w:rsidR="00723562" w:rsidRPr="000E1168" w:rsidRDefault="00723562" w:rsidP="00CB45C6">
            <w:pPr>
              <w:spacing w:before="40" w:after="40"/>
              <w:jc w:val="both"/>
              <w:rPr>
                <w:color w:val="000000"/>
                <w:sz w:val="20"/>
                <w:szCs w:val="20"/>
              </w:rPr>
            </w:pPr>
            <w:r w:rsidRPr="000E1168">
              <w:rPr>
                <w:color w:val="000000"/>
                <w:sz w:val="20"/>
                <w:szCs w:val="20"/>
              </w:rPr>
              <w:t>Segundo nivel</w:t>
            </w:r>
          </w:p>
        </w:tc>
        <w:tc>
          <w:tcPr>
            <w:tcW w:w="698"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17</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17.3</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10</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10.2</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9</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9.1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36</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36.7</w:t>
            </w:r>
          </w:p>
        </w:tc>
      </w:tr>
      <w:tr w:rsidR="00723562" w:rsidRPr="000E1168" w:rsidTr="00CB45C6">
        <w:trPr>
          <w:jc w:val="center"/>
        </w:trPr>
        <w:tc>
          <w:tcPr>
            <w:tcW w:w="1998" w:type="dxa"/>
            <w:vMerge/>
            <w:tcBorders>
              <w:top w:val="nil"/>
              <w:left w:val="nil"/>
              <w:right w:val="nil"/>
            </w:tcBorders>
            <w:shd w:val="clear" w:color="auto" w:fill="auto"/>
          </w:tcPr>
          <w:p w:rsidR="00723562" w:rsidRPr="000E1168" w:rsidRDefault="00723562" w:rsidP="00CB45C6">
            <w:pPr>
              <w:spacing w:before="40" w:after="40"/>
              <w:rPr>
                <w:color w:val="000000"/>
                <w:sz w:val="20"/>
                <w:szCs w:val="20"/>
              </w:rPr>
            </w:pPr>
          </w:p>
        </w:tc>
        <w:tc>
          <w:tcPr>
            <w:tcW w:w="1843" w:type="dxa"/>
            <w:tcBorders>
              <w:top w:val="nil"/>
              <w:left w:val="nil"/>
              <w:right w:val="nil"/>
            </w:tcBorders>
            <w:shd w:val="clear" w:color="auto" w:fill="auto"/>
          </w:tcPr>
          <w:p w:rsidR="00723562" w:rsidRPr="000E1168" w:rsidRDefault="00723562" w:rsidP="00CB45C6">
            <w:pPr>
              <w:spacing w:before="40" w:after="40"/>
              <w:jc w:val="both"/>
              <w:rPr>
                <w:color w:val="000000"/>
                <w:sz w:val="20"/>
                <w:szCs w:val="20"/>
              </w:rPr>
            </w:pPr>
            <w:r w:rsidRPr="000E1168">
              <w:rPr>
                <w:color w:val="000000"/>
                <w:sz w:val="20"/>
                <w:szCs w:val="20"/>
              </w:rPr>
              <w:t>Tercer nivel</w:t>
            </w:r>
          </w:p>
        </w:tc>
        <w:tc>
          <w:tcPr>
            <w:tcW w:w="698" w:type="dxa"/>
            <w:tcBorders>
              <w:top w:val="nil"/>
              <w:left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5</w:t>
            </w:r>
          </w:p>
        </w:tc>
        <w:tc>
          <w:tcPr>
            <w:tcW w:w="699" w:type="dxa"/>
            <w:tcBorders>
              <w:top w:val="nil"/>
              <w:left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5.1</w:t>
            </w:r>
          </w:p>
        </w:tc>
        <w:tc>
          <w:tcPr>
            <w:tcW w:w="699" w:type="dxa"/>
            <w:tcBorders>
              <w:top w:val="nil"/>
              <w:left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8</w:t>
            </w:r>
          </w:p>
        </w:tc>
        <w:tc>
          <w:tcPr>
            <w:tcW w:w="699" w:type="dxa"/>
            <w:tcBorders>
              <w:top w:val="nil"/>
              <w:left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8.1</w:t>
            </w:r>
          </w:p>
        </w:tc>
        <w:tc>
          <w:tcPr>
            <w:tcW w:w="699" w:type="dxa"/>
            <w:tcBorders>
              <w:top w:val="nil"/>
              <w:left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29</w:t>
            </w:r>
          </w:p>
        </w:tc>
        <w:tc>
          <w:tcPr>
            <w:tcW w:w="699" w:type="dxa"/>
            <w:tcBorders>
              <w:top w:val="nil"/>
              <w:left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29.5</w:t>
            </w:r>
          </w:p>
        </w:tc>
        <w:tc>
          <w:tcPr>
            <w:tcW w:w="699" w:type="dxa"/>
            <w:tcBorders>
              <w:top w:val="nil"/>
              <w:left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42</w:t>
            </w:r>
          </w:p>
        </w:tc>
        <w:tc>
          <w:tcPr>
            <w:tcW w:w="699" w:type="dxa"/>
            <w:tcBorders>
              <w:top w:val="nil"/>
              <w:left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42.9</w:t>
            </w:r>
          </w:p>
        </w:tc>
      </w:tr>
      <w:tr w:rsidR="00723562" w:rsidRPr="000E1168" w:rsidTr="00CB45C6">
        <w:trPr>
          <w:jc w:val="center"/>
        </w:trPr>
        <w:tc>
          <w:tcPr>
            <w:tcW w:w="1998" w:type="dxa"/>
            <w:vMerge w:val="restart"/>
            <w:tcBorders>
              <w:left w:val="nil"/>
              <w:bottom w:val="nil"/>
              <w:right w:val="nil"/>
            </w:tcBorders>
            <w:shd w:val="clear" w:color="auto" w:fill="auto"/>
          </w:tcPr>
          <w:p w:rsidR="00723562" w:rsidRPr="000E1168" w:rsidRDefault="00723562" w:rsidP="00CB45C6">
            <w:pPr>
              <w:spacing w:before="40" w:after="40"/>
              <w:rPr>
                <w:color w:val="000000"/>
                <w:sz w:val="20"/>
                <w:szCs w:val="20"/>
              </w:rPr>
            </w:pPr>
          </w:p>
          <w:p w:rsidR="00723562" w:rsidRPr="000E1168" w:rsidRDefault="00723562" w:rsidP="00CB45C6">
            <w:pPr>
              <w:spacing w:before="40" w:after="40"/>
              <w:rPr>
                <w:color w:val="000000"/>
                <w:sz w:val="20"/>
                <w:szCs w:val="20"/>
              </w:rPr>
            </w:pPr>
          </w:p>
          <w:p w:rsidR="00723562" w:rsidRPr="000E1168" w:rsidRDefault="00723562" w:rsidP="00CB45C6">
            <w:pPr>
              <w:spacing w:before="40" w:after="40"/>
              <w:rPr>
                <w:color w:val="000000"/>
                <w:sz w:val="20"/>
                <w:szCs w:val="20"/>
              </w:rPr>
            </w:pPr>
            <w:r w:rsidRPr="000E1168">
              <w:rPr>
                <w:color w:val="000000"/>
                <w:sz w:val="20"/>
                <w:szCs w:val="20"/>
              </w:rPr>
              <w:t>Nivel escolar del padre</w:t>
            </w:r>
          </w:p>
        </w:tc>
        <w:tc>
          <w:tcPr>
            <w:tcW w:w="1843" w:type="dxa"/>
            <w:tcBorders>
              <w:left w:val="nil"/>
              <w:bottom w:val="nil"/>
              <w:right w:val="nil"/>
            </w:tcBorders>
            <w:shd w:val="clear" w:color="auto" w:fill="auto"/>
          </w:tcPr>
          <w:p w:rsidR="00723562" w:rsidRPr="000E1168" w:rsidRDefault="00723562" w:rsidP="00CB45C6">
            <w:pPr>
              <w:spacing w:before="40" w:after="40"/>
              <w:jc w:val="both"/>
              <w:rPr>
                <w:color w:val="000000"/>
                <w:sz w:val="20"/>
                <w:szCs w:val="20"/>
              </w:rPr>
            </w:pPr>
            <w:r w:rsidRPr="000E1168">
              <w:rPr>
                <w:color w:val="000000"/>
                <w:sz w:val="20"/>
                <w:szCs w:val="20"/>
              </w:rPr>
              <w:t>Primer nivel</w:t>
            </w:r>
          </w:p>
        </w:tc>
        <w:tc>
          <w:tcPr>
            <w:tcW w:w="698" w:type="dxa"/>
            <w:tcBorders>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17</w:t>
            </w:r>
          </w:p>
        </w:tc>
        <w:tc>
          <w:tcPr>
            <w:tcW w:w="699" w:type="dxa"/>
            <w:tcBorders>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17.3</w:t>
            </w:r>
          </w:p>
        </w:tc>
        <w:tc>
          <w:tcPr>
            <w:tcW w:w="699" w:type="dxa"/>
            <w:tcBorders>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2</w:t>
            </w:r>
          </w:p>
        </w:tc>
        <w:tc>
          <w:tcPr>
            <w:tcW w:w="699" w:type="dxa"/>
            <w:tcBorders>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2.1</w:t>
            </w:r>
          </w:p>
        </w:tc>
        <w:tc>
          <w:tcPr>
            <w:tcW w:w="699" w:type="dxa"/>
            <w:tcBorders>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w:t>
            </w:r>
          </w:p>
        </w:tc>
        <w:tc>
          <w:tcPr>
            <w:tcW w:w="699" w:type="dxa"/>
            <w:tcBorders>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1.1</w:t>
            </w:r>
          </w:p>
        </w:tc>
        <w:tc>
          <w:tcPr>
            <w:tcW w:w="699" w:type="dxa"/>
            <w:tcBorders>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20</w:t>
            </w:r>
          </w:p>
        </w:tc>
        <w:tc>
          <w:tcPr>
            <w:tcW w:w="699" w:type="dxa"/>
            <w:tcBorders>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20.4</w:t>
            </w:r>
          </w:p>
        </w:tc>
      </w:tr>
      <w:tr w:rsidR="00723562" w:rsidRPr="000E1168" w:rsidTr="00CB45C6">
        <w:trPr>
          <w:jc w:val="center"/>
        </w:trPr>
        <w:tc>
          <w:tcPr>
            <w:tcW w:w="1998" w:type="dxa"/>
            <w:vMerge/>
            <w:tcBorders>
              <w:top w:val="nil"/>
              <w:left w:val="nil"/>
              <w:bottom w:val="nil"/>
              <w:right w:val="nil"/>
            </w:tcBorders>
            <w:shd w:val="clear" w:color="auto" w:fill="auto"/>
          </w:tcPr>
          <w:p w:rsidR="00723562" w:rsidRPr="000E1168" w:rsidRDefault="00723562" w:rsidP="00CB45C6">
            <w:pPr>
              <w:spacing w:before="40" w:after="40"/>
              <w:jc w:val="both"/>
              <w:rPr>
                <w:color w:val="000000"/>
                <w:sz w:val="20"/>
                <w:szCs w:val="20"/>
              </w:rPr>
            </w:pPr>
          </w:p>
        </w:tc>
        <w:tc>
          <w:tcPr>
            <w:tcW w:w="1843" w:type="dxa"/>
            <w:tcBorders>
              <w:top w:val="nil"/>
              <w:left w:val="nil"/>
              <w:bottom w:val="nil"/>
              <w:right w:val="nil"/>
            </w:tcBorders>
            <w:shd w:val="clear" w:color="auto" w:fill="auto"/>
          </w:tcPr>
          <w:p w:rsidR="00723562" w:rsidRPr="000E1168" w:rsidRDefault="00723562" w:rsidP="00CB45C6">
            <w:pPr>
              <w:spacing w:before="40" w:after="40"/>
              <w:jc w:val="both"/>
              <w:rPr>
                <w:color w:val="000000"/>
                <w:sz w:val="20"/>
                <w:szCs w:val="20"/>
              </w:rPr>
            </w:pPr>
            <w:r w:rsidRPr="000E1168">
              <w:rPr>
                <w:color w:val="000000"/>
                <w:sz w:val="20"/>
                <w:szCs w:val="20"/>
              </w:rPr>
              <w:t>Segundo nivel</w:t>
            </w:r>
          </w:p>
        </w:tc>
        <w:tc>
          <w:tcPr>
            <w:tcW w:w="698"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17</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17.3</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9</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9.1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11.2</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37</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37.7</w:t>
            </w:r>
          </w:p>
        </w:tc>
      </w:tr>
      <w:tr w:rsidR="00723562" w:rsidRPr="000E1168" w:rsidTr="00CB45C6">
        <w:trPr>
          <w:jc w:val="center"/>
        </w:trPr>
        <w:tc>
          <w:tcPr>
            <w:tcW w:w="1998" w:type="dxa"/>
            <w:vMerge/>
            <w:tcBorders>
              <w:top w:val="nil"/>
              <w:left w:val="nil"/>
              <w:bottom w:val="nil"/>
              <w:right w:val="nil"/>
            </w:tcBorders>
            <w:shd w:val="clear" w:color="auto" w:fill="auto"/>
          </w:tcPr>
          <w:p w:rsidR="00723562" w:rsidRPr="000E1168" w:rsidRDefault="00723562" w:rsidP="00CB45C6">
            <w:pPr>
              <w:spacing w:before="40" w:after="40"/>
              <w:jc w:val="both"/>
              <w:rPr>
                <w:color w:val="000000"/>
                <w:sz w:val="20"/>
                <w:szCs w:val="20"/>
              </w:rPr>
            </w:pPr>
          </w:p>
        </w:tc>
        <w:tc>
          <w:tcPr>
            <w:tcW w:w="1843" w:type="dxa"/>
            <w:tcBorders>
              <w:top w:val="nil"/>
              <w:left w:val="nil"/>
              <w:bottom w:val="nil"/>
              <w:right w:val="nil"/>
            </w:tcBorders>
            <w:shd w:val="clear" w:color="auto" w:fill="auto"/>
          </w:tcPr>
          <w:p w:rsidR="00723562" w:rsidRPr="000E1168" w:rsidRDefault="00723562" w:rsidP="00CB45C6">
            <w:pPr>
              <w:spacing w:before="40" w:after="40"/>
              <w:jc w:val="both"/>
              <w:rPr>
                <w:color w:val="000000"/>
                <w:sz w:val="20"/>
                <w:szCs w:val="20"/>
              </w:rPr>
            </w:pPr>
            <w:r w:rsidRPr="000E1168">
              <w:rPr>
                <w:color w:val="000000"/>
                <w:sz w:val="20"/>
                <w:szCs w:val="20"/>
              </w:rPr>
              <w:t>Tercer nivel</w:t>
            </w:r>
          </w:p>
        </w:tc>
        <w:tc>
          <w:tcPr>
            <w:tcW w:w="698"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4</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4.1</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10</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10.2</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24</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24.4</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38</w:t>
            </w:r>
          </w:p>
        </w:tc>
        <w:tc>
          <w:tcPr>
            <w:tcW w:w="699" w:type="dxa"/>
            <w:tcBorders>
              <w:top w:val="nil"/>
              <w:left w:val="nil"/>
              <w:bottom w:val="nil"/>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38.8</w:t>
            </w:r>
          </w:p>
        </w:tc>
      </w:tr>
      <w:tr w:rsidR="00723562" w:rsidRPr="000E1168" w:rsidTr="00CB45C6">
        <w:trPr>
          <w:jc w:val="center"/>
        </w:trPr>
        <w:tc>
          <w:tcPr>
            <w:tcW w:w="1998" w:type="dxa"/>
            <w:vMerge/>
            <w:tcBorders>
              <w:top w:val="nil"/>
              <w:left w:val="nil"/>
              <w:bottom w:val="single" w:sz="4" w:space="0" w:color="auto"/>
              <w:right w:val="nil"/>
            </w:tcBorders>
            <w:shd w:val="clear" w:color="auto" w:fill="auto"/>
          </w:tcPr>
          <w:p w:rsidR="00723562" w:rsidRPr="000E1168" w:rsidRDefault="00723562" w:rsidP="00CB45C6">
            <w:pPr>
              <w:spacing w:before="40" w:after="40"/>
              <w:jc w:val="both"/>
              <w:rPr>
                <w:color w:val="000000"/>
                <w:sz w:val="20"/>
                <w:szCs w:val="20"/>
              </w:rPr>
            </w:pPr>
          </w:p>
        </w:tc>
        <w:tc>
          <w:tcPr>
            <w:tcW w:w="1843" w:type="dxa"/>
            <w:tcBorders>
              <w:top w:val="nil"/>
              <w:left w:val="nil"/>
              <w:bottom w:val="single" w:sz="4" w:space="0" w:color="auto"/>
              <w:right w:val="nil"/>
            </w:tcBorders>
            <w:shd w:val="clear" w:color="auto" w:fill="auto"/>
          </w:tcPr>
          <w:p w:rsidR="00723562" w:rsidRPr="000E1168" w:rsidRDefault="00723562" w:rsidP="00CB45C6">
            <w:pPr>
              <w:spacing w:before="40" w:after="40"/>
              <w:jc w:val="both"/>
              <w:rPr>
                <w:color w:val="000000"/>
                <w:sz w:val="20"/>
                <w:szCs w:val="20"/>
              </w:rPr>
            </w:pPr>
            <w:r w:rsidRPr="000E1168">
              <w:rPr>
                <w:color w:val="000000"/>
                <w:sz w:val="20"/>
                <w:szCs w:val="20"/>
              </w:rPr>
              <w:t>Cuarto nivel</w:t>
            </w:r>
          </w:p>
        </w:tc>
        <w:tc>
          <w:tcPr>
            <w:tcW w:w="698" w:type="dxa"/>
            <w:tcBorders>
              <w:top w:val="nil"/>
              <w:left w:val="nil"/>
              <w:bottom w:val="single" w:sz="4" w:space="0" w:color="auto"/>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0</w:t>
            </w:r>
          </w:p>
        </w:tc>
        <w:tc>
          <w:tcPr>
            <w:tcW w:w="699" w:type="dxa"/>
            <w:tcBorders>
              <w:top w:val="nil"/>
              <w:left w:val="nil"/>
              <w:bottom w:val="single" w:sz="4" w:space="0" w:color="auto"/>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0</w:t>
            </w:r>
          </w:p>
        </w:tc>
        <w:tc>
          <w:tcPr>
            <w:tcW w:w="699" w:type="dxa"/>
            <w:tcBorders>
              <w:top w:val="nil"/>
              <w:left w:val="nil"/>
              <w:bottom w:val="single" w:sz="4" w:space="0" w:color="auto"/>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w:t>
            </w:r>
          </w:p>
        </w:tc>
        <w:tc>
          <w:tcPr>
            <w:tcW w:w="699" w:type="dxa"/>
            <w:tcBorders>
              <w:top w:val="nil"/>
              <w:left w:val="nil"/>
              <w:bottom w:val="single" w:sz="4" w:space="0" w:color="auto"/>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1.1</w:t>
            </w:r>
          </w:p>
        </w:tc>
        <w:tc>
          <w:tcPr>
            <w:tcW w:w="699" w:type="dxa"/>
            <w:tcBorders>
              <w:top w:val="nil"/>
              <w:left w:val="nil"/>
              <w:bottom w:val="single" w:sz="4" w:space="0" w:color="auto"/>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2</w:t>
            </w:r>
          </w:p>
        </w:tc>
        <w:tc>
          <w:tcPr>
            <w:tcW w:w="699" w:type="dxa"/>
            <w:tcBorders>
              <w:top w:val="nil"/>
              <w:left w:val="nil"/>
              <w:bottom w:val="single" w:sz="4" w:space="0" w:color="auto"/>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2.1</w:t>
            </w:r>
          </w:p>
        </w:tc>
        <w:tc>
          <w:tcPr>
            <w:tcW w:w="699" w:type="dxa"/>
            <w:tcBorders>
              <w:top w:val="nil"/>
              <w:left w:val="nil"/>
              <w:bottom w:val="single" w:sz="4" w:space="0" w:color="auto"/>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3</w:t>
            </w:r>
          </w:p>
        </w:tc>
        <w:tc>
          <w:tcPr>
            <w:tcW w:w="699" w:type="dxa"/>
            <w:tcBorders>
              <w:top w:val="nil"/>
              <w:left w:val="nil"/>
              <w:bottom w:val="single" w:sz="4" w:space="0" w:color="auto"/>
              <w:right w:val="nil"/>
            </w:tcBorders>
            <w:shd w:val="clear" w:color="auto" w:fill="auto"/>
          </w:tcPr>
          <w:p w:rsidR="00723562" w:rsidRPr="000E1168" w:rsidRDefault="00723562" w:rsidP="00CB45C6">
            <w:pPr>
              <w:spacing w:before="40" w:after="40"/>
              <w:jc w:val="center"/>
              <w:rPr>
                <w:color w:val="000000"/>
                <w:sz w:val="20"/>
                <w:szCs w:val="20"/>
              </w:rPr>
            </w:pPr>
            <w:r w:rsidRPr="000E1168">
              <w:rPr>
                <w:color w:val="000000"/>
                <w:sz w:val="20"/>
                <w:szCs w:val="20"/>
              </w:rPr>
              <w:t>3.1</w:t>
            </w:r>
          </w:p>
        </w:tc>
      </w:tr>
    </w:tbl>
    <w:p w:rsidR="00723562" w:rsidRDefault="00723562" w:rsidP="00501CA4">
      <w:pPr>
        <w:spacing w:line="480" w:lineRule="auto"/>
        <w:jc w:val="both"/>
      </w:pPr>
      <w:r w:rsidRPr="00723562">
        <w:t xml:space="preserve"> </w:t>
      </w:r>
    </w:p>
    <w:p w:rsidR="00A137F1" w:rsidRPr="00723562" w:rsidRDefault="00500D1B" w:rsidP="0000602F">
      <w:pPr>
        <w:spacing w:line="360" w:lineRule="auto"/>
        <w:jc w:val="both"/>
      </w:pPr>
      <w:r w:rsidRPr="00723562">
        <w:t xml:space="preserve">En la </w:t>
      </w:r>
      <w:r w:rsidRPr="00723562">
        <w:rPr>
          <w:i/>
        </w:rPr>
        <w:t>Tabla 5</w:t>
      </w:r>
      <w:r w:rsidRPr="00723562">
        <w:t xml:space="preserve"> se muestra la</w:t>
      </w:r>
      <w:r w:rsidRPr="00723562">
        <w:rPr>
          <w:b/>
        </w:rPr>
        <w:t xml:space="preserve"> </w:t>
      </w:r>
      <w:r w:rsidRPr="00723562">
        <w:t xml:space="preserve">distribución de participantes por </w:t>
      </w:r>
      <w:r w:rsidR="00F76D45" w:rsidRPr="00723562">
        <w:t>u</w:t>
      </w:r>
      <w:r w:rsidRPr="00723562">
        <w:t xml:space="preserve">nidades </w:t>
      </w:r>
      <w:r w:rsidR="00F76D45" w:rsidRPr="00723562">
        <w:t>e</w:t>
      </w:r>
      <w:r w:rsidRPr="00723562">
        <w:t>ducativas, según estructura familiar, nivel socioeconómico, ocupación de la madre, ocupación del padre, nivel escolar de la madre, y nivel escolar del padre.</w:t>
      </w:r>
    </w:p>
    <w:p w:rsidR="004F6DEF" w:rsidRDefault="004F6DEF" w:rsidP="0000602F">
      <w:pPr>
        <w:spacing w:line="360" w:lineRule="auto"/>
        <w:jc w:val="both"/>
        <w:rPr>
          <w:b/>
        </w:rPr>
      </w:pPr>
    </w:p>
    <w:p w:rsidR="0075264A" w:rsidRPr="00723562" w:rsidRDefault="0075264A" w:rsidP="0000602F">
      <w:pPr>
        <w:spacing w:line="360" w:lineRule="auto"/>
        <w:jc w:val="both"/>
        <w:rPr>
          <w:b/>
        </w:rPr>
      </w:pPr>
      <w:r w:rsidRPr="00723562">
        <w:rPr>
          <w:b/>
        </w:rPr>
        <w:t>D</w:t>
      </w:r>
      <w:r w:rsidR="004F6DEF" w:rsidRPr="00723562">
        <w:rPr>
          <w:b/>
        </w:rPr>
        <w:t>iscusión</w:t>
      </w:r>
    </w:p>
    <w:p w:rsidR="00485AF4" w:rsidRPr="00723562" w:rsidRDefault="00FD5C74" w:rsidP="0000602F">
      <w:pPr>
        <w:spacing w:line="360" w:lineRule="auto"/>
        <w:jc w:val="both"/>
      </w:pPr>
      <w:r w:rsidRPr="00723562">
        <w:t xml:space="preserve">El estudio que se reporta en el presente manuscrito, fue realizado con </w:t>
      </w:r>
      <w:r w:rsidR="00832047" w:rsidRPr="00723562">
        <w:t>el</w:t>
      </w:r>
      <w:r w:rsidRPr="00723562">
        <w:t xml:space="preserve"> propósito fundamental</w:t>
      </w:r>
      <w:r w:rsidR="00832047" w:rsidRPr="00723562">
        <w:t xml:space="preserve"> de</w:t>
      </w:r>
      <w:r w:rsidRPr="00723562">
        <w:t xml:space="preserve"> registrar y caracterizar sociodemográficamente a la población total de niños con trastornos específicos del aprendizaje, de tres unidades </w:t>
      </w:r>
      <w:r w:rsidR="00F76D45" w:rsidRPr="00723562">
        <w:t>educativas</w:t>
      </w:r>
      <w:r w:rsidRPr="00723562">
        <w:t xml:space="preserve"> </w:t>
      </w:r>
      <w:r w:rsidR="00F76D45" w:rsidRPr="00723562">
        <w:t>ubicadas</w:t>
      </w:r>
      <w:r w:rsidR="00485AF4" w:rsidRPr="00723562">
        <w:t xml:space="preserve"> en la Ciudad de Manta, provincia, Manabí, República del Ecuador.</w:t>
      </w:r>
    </w:p>
    <w:p w:rsidR="00485AF4" w:rsidRPr="00723562" w:rsidRDefault="00FD5C74" w:rsidP="0000602F">
      <w:pPr>
        <w:spacing w:line="360" w:lineRule="auto"/>
        <w:jc w:val="both"/>
      </w:pPr>
      <w:r w:rsidRPr="00723562">
        <w:t>A este propósito subyac</w:t>
      </w:r>
      <w:r w:rsidR="00832047" w:rsidRPr="00723562">
        <w:t>i</w:t>
      </w:r>
      <w:r w:rsidRPr="00723562">
        <w:t>e</w:t>
      </w:r>
      <w:r w:rsidR="00832047" w:rsidRPr="00723562">
        <w:t>ro</w:t>
      </w:r>
      <w:r w:rsidRPr="00723562">
        <w:t xml:space="preserve">n </w:t>
      </w:r>
      <w:r w:rsidR="00832047" w:rsidRPr="00723562">
        <w:t xml:space="preserve">otras </w:t>
      </w:r>
      <w:r w:rsidRPr="00723562">
        <w:t xml:space="preserve">dos intenciones. La primera </w:t>
      </w:r>
      <w:r w:rsidR="00485AF4" w:rsidRPr="00723562">
        <w:t>intención se centr</w:t>
      </w:r>
      <w:r w:rsidR="00832047" w:rsidRPr="00723562">
        <w:t>ó</w:t>
      </w:r>
      <w:r w:rsidR="00485AF4" w:rsidRPr="00723562">
        <w:t xml:space="preserve"> en identificar los niveles de prevalencia de los problemas del aprendizaje en la región. Ello con el objetivo de trascender el nivel especulativo, y disponer de datos empíricos precisos que permitan demostrar la trascendencia del problema que se aborda, y la necesidad de hacer una parada científica, para responder a una demanda de la práctica</w:t>
      </w:r>
      <w:r w:rsidR="00DB26FF" w:rsidRPr="00723562">
        <w:t xml:space="preserve"> social</w:t>
      </w:r>
      <w:r w:rsidR="00485AF4" w:rsidRPr="00723562">
        <w:t xml:space="preserve">, en la que </w:t>
      </w:r>
      <w:r w:rsidR="00B13536" w:rsidRPr="00723562">
        <w:t xml:space="preserve">por una parte se deben involucrar las autoridades académicas, y por otra parte, </w:t>
      </w:r>
      <w:r w:rsidR="00485AF4" w:rsidRPr="00723562">
        <w:t xml:space="preserve">se deben </w:t>
      </w:r>
      <w:r w:rsidR="008766D3" w:rsidRPr="00723562">
        <w:t>implicar</w:t>
      </w:r>
      <w:r w:rsidR="00485AF4" w:rsidRPr="00723562">
        <w:t xml:space="preserve"> diferentes disciplinas del conocimiento, al margen de posicionamientos teóricos y epistemológicos.</w:t>
      </w:r>
    </w:p>
    <w:p w:rsidR="00485AF4" w:rsidRPr="00723562" w:rsidRDefault="00485AF4" w:rsidP="0000602F">
      <w:pPr>
        <w:spacing w:line="360" w:lineRule="auto"/>
        <w:jc w:val="both"/>
      </w:pPr>
      <w:r w:rsidRPr="00723562">
        <w:t xml:space="preserve">La segunda intención </w:t>
      </w:r>
      <w:r w:rsidR="00832047" w:rsidRPr="00723562">
        <w:t>fue</w:t>
      </w:r>
      <w:r w:rsidR="00FD5C74" w:rsidRPr="00723562">
        <w:t xml:space="preserve"> crear un precedente de</w:t>
      </w:r>
      <w:r w:rsidR="00CA3B0D" w:rsidRPr="00723562">
        <w:t xml:space="preserve"> estudios de problemas del aprendizaje en esta región, </w:t>
      </w:r>
      <w:r w:rsidRPr="00723562">
        <w:t>que sirva como plataforma, para</w:t>
      </w:r>
      <w:r w:rsidR="00DB26FF" w:rsidRPr="00723562">
        <w:t xml:space="preserve"> que</w:t>
      </w:r>
      <w:r w:rsidRPr="00723562">
        <w:t xml:space="preserve">, a </w:t>
      </w:r>
      <w:r w:rsidR="00FD5C74" w:rsidRPr="00723562">
        <w:t xml:space="preserve">partir </w:t>
      </w:r>
      <w:r w:rsidRPr="00723562">
        <w:t xml:space="preserve">de los resultados obtenidos, </w:t>
      </w:r>
      <w:r w:rsidR="00DB26FF" w:rsidRPr="00723562">
        <w:t xml:space="preserve">se pueda </w:t>
      </w:r>
      <w:r w:rsidRPr="00723562">
        <w:t xml:space="preserve">perfilar el </w:t>
      </w:r>
      <w:r w:rsidR="00DB26FF" w:rsidRPr="00723562">
        <w:t>diseño</w:t>
      </w:r>
      <w:r w:rsidR="00FD5C74" w:rsidRPr="00723562">
        <w:t xml:space="preserve"> de investigaciones</w:t>
      </w:r>
      <w:r w:rsidR="00CA3B0D" w:rsidRPr="00723562">
        <w:t xml:space="preserve"> en el futuro próximo</w:t>
      </w:r>
      <w:r w:rsidRPr="00723562">
        <w:t xml:space="preserve"> mediato</w:t>
      </w:r>
      <w:r w:rsidR="00CA3B0D" w:rsidRPr="00723562">
        <w:t xml:space="preserve">, donde se profundice en </w:t>
      </w:r>
      <w:r w:rsidR="00DB26FF" w:rsidRPr="00723562">
        <w:lastRenderedPageBreak/>
        <w:t xml:space="preserve">aquellos </w:t>
      </w:r>
      <w:r w:rsidR="00CA3B0D" w:rsidRPr="00723562">
        <w:t xml:space="preserve">aspectos relevantes de los problemas </w:t>
      </w:r>
      <w:r w:rsidR="00F76D45" w:rsidRPr="00723562">
        <w:t xml:space="preserve">del aprendizaje; </w:t>
      </w:r>
      <w:r w:rsidRPr="00723562">
        <w:t xml:space="preserve">trascendiendo posturas clínicas o pedagógicas tradicionales, para patentizar la pertinencia de </w:t>
      </w:r>
      <w:r w:rsidR="00CA3B0D" w:rsidRPr="00723562">
        <w:t xml:space="preserve">una perspectiva </w:t>
      </w:r>
      <w:r w:rsidRPr="00723562">
        <w:t xml:space="preserve">más orientada al análisis </w:t>
      </w:r>
      <w:r w:rsidR="00CA3B0D" w:rsidRPr="00723562">
        <w:t>neurocognitiv</w:t>
      </w:r>
      <w:r w:rsidRPr="00723562">
        <w:t>o</w:t>
      </w:r>
      <w:r w:rsidR="00CA3B0D" w:rsidRPr="00723562">
        <w:t xml:space="preserve"> y </w:t>
      </w:r>
      <w:r w:rsidRPr="00723562">
        <w:t>neuroeducativo</w:t>
      </w:r>
      <w:r w:rsidR="00DB26FF" w:rsidRPr="00723562">
        <w:t>.</w:t>
      </w:r>
    </w:p>
    <w:p w:rsidR="00BF2B0A" w:rsidRPr="00723562" w:rsidRDefault="00BF2B0A" w:rsidP="0000602F">
      <w:pPr>
        <w:spacing w:line="360" w:lineRule="auto"/>
        <w:jc w:val="both"/>
      </w:pPr>
      <w:r w:rsidRPr="00723562">
        <w:t xml:space="preserve">Los resultados obtenidos son </w:t>
      </w:r>
      <w:r w:rsidR="00832047" w:rsidRPr="00723562">
        <w:t>sumamente</w:t>
      </w:r>
      <w:r w:rsidRPr="00723562">
        <w:t xml:space="preserve"> interesantes; sobre todo si se toman en consideración, las limitaciones para rediagnosticar a cada uno de los casos reportados, evaluados y diagnosticados por los </w:t>
      </w:r>
      <w:r w:rsidR="00FD5C74" w:rsidRPr="00723562">
        <w:t>profesionales</w:t>
      </w:r>
      <w:r w:rsidRPr="00723562">
        <w:t xml:space="preserve"> del </w:t>
      </w:r>
      <w:r w:rsidR="00FD5C74" w:rsidRPr="00723562">
        <w:t>Departamento de Consejería Estudiantil</w:t>
      </w:r>
      <w:r w:rsidRPr="00723562">
        <w:t xml:space="preserve"> </w:t>
      </w:r>
      <w:r w:rsidR="00FD5C74" w:rsidRPr="00723562">
        <w:t xml:space="preserve">(DECE) </w:t>
      </w:r>
      <w:r w:rsidRPr="00723562">
        <w:t>de las Unidades Educativas estudiadas.</w:t>
      </w:r>
      <w:r w:rsidR="00FD5C74" w:rsidRPr="00723562">
        <w:t xml:space="preserve"> E</w:t>
      </w:r>
      <w:r w:rsidRPr="00723562">
        <w:t xml:space="preserve">stas dificultades condicionaron que solamente fueran registrados como trastornos específicos del aprendizaje, aquellos niños </w:t>
      </w:r>
      <w:r w:rsidR="00832047" w:rsidRPr="00723562">
        <w:t xml:space="preserve">identificados por el DECE, </w:t>
      </w:r>
      <w:r w:rsidRPr="00723562">
        <w:t>donde se pudieron verificar con precisión</w:t>
      </w:r>
      <w:r w:rsidR="00FD5C74" w:rsidRPr="00723562">
        <w:t xml:space="preserve"> y objetividad</w:t>
      </w:r>
      <w:r w:rsidRPr="00723562">
        <w:t>, l</w:t>
      </w:r>
      <w:r w:rsidR="00FD5C74" w:rsidRPr="00723562">
        <w:t xml:space="preserve">os </w:t>
      </w:r>
      <w:r w:rsidRPr="00723562">
        <w:t xml:space="preserve">criterios diagnósticos para este tipo de trastorno propuestos por el </w:t>
      </w:r>
      <w:r w:rsidRPr="00723562">
        <w:rPr>
          <w:bCs/>
          <w:i/>
          <w:lang w:val="es-EC"/>
        </w:rPr>
        <w:t>Diagnostic and Statistical Manual of Mental Disorders, Quinta Edición</w:t>
      </w:r>
      <w:r w:rsidRPr="00723562">
        <w:rPr>
          <w:bCs/>
          <w:lang w:val="es-EC"/>
        </w:rPr>
        <w:t>, DSM-5</w:t>
      </w:r>
      <w:r w:rsidRPr="00723562">
        <w:rPr>
          <w:lang w:val="es-EC"/>
        </w:rPr>
        <w:t xml:space="preserve"> </w:t>
      </w:r>
      <w:r w:rsidRPr="00723562">
        <w:t>(</w:t>
      </w:r>
      <w:r w:rsidRPr="00723562">
        <w:rPr>
          <w:bCs/>
          <w:lang w:val="es-EC"/>
        </w:rPr>
        <w:t>American Psychiatric Association, 2013</w:t>
      </w:r>
      <w:r w:rsidRPr="00723562">
        <w:t>)</w:t>
      </w:r>
      <w:r w:rsidR="00FD5C74" w:rsidRPr="00723562">
        <w:t>.</w:t>
      </w:r>
    </w:p>
    <w:p w:rsidR="00B13536" w:rsidRPr="00723562" w:rsidRDefault="00832047" w:rsidP="0000602F">
      <w:pPr>
        <w:spacing w:line="360" w:lineRule="auto"/>
        <w:jc w:val="both"/>
      </w:pPr>
      <w:r w:rsidRPr="00723562">
        <w:t xml:space="preserve">Estas limitaciones para el registro conducen a asumir que los trastornos específicos del aprendizaje </w:t>
      </w:r>
      <w:r w:rsidR="00B13536" w:rsidRPr="00723562">
        <w:t>están siendo</w:t>
      </w:r>
      <w:r w:rsidRPr="00723562">
        <w:t xml:space="preserve"> infradiagnosticados, y que probablemente el número de casos </w:t>
      </w:r>
      <w:r w:rsidR="00B13536" w:rsidRPr="00723562">
        <w:t xml:space="preserve">reales </w:t>
      </w:r>
      <w:r w:rsidRPr="00723562">
        <w:t>es superior al que finalmente se logró registrar</w:t>
      </w:r>
      <w:r w:rsidR="00B13536" w:rsidRPr="00723562">
        <w:t xml:space="preserve"> durante la implementación del estudio</w:t>
      </w:r>
      <w:r w:rsidRPr="00723562">
        <w:t xml:space="preserve">. </w:t>
      </w:r>
      <w:r w:rsidR="00B13536" w:rsidRPr="00723562">
        <w:t xml:space="preserve">Un elemento que apoya esta conclusión, es el hecho de que varios de los docentes de las Unidades Educativas, refieren la presencia de otros casos que, o aún no han sido evaluados, o se han estado abordando desde una postura más centrada en aspectos </w:t>
      </w:r>
      <w:r w:rsidR="00662EB0" w:rsidRPr="00723562">
        <w:t>s</w:t>
      </w:r>
      <w:r w:rsidR="00B13536" w:rsidRPr="00723562">
        <w:t xml:space="preserve">ocioambientales, porque son niños que están inmersos en situaciones familiares que bien podrían ser las causas de sus problemas de rendimiento académico. </w:t>
      </w:r>
    </w:p>
    <w:p w:rsidR="00832047" w:rsidRPr="00723562" w:rsidRDefault="00832047" w:rsidP="0000602F">
      <w:pPr>
        <w:spacing w:line="360" w:lineRule="auto"/>
        <w:jc w:val="both"/>
      </w:pPr>
      <w:r w:rsidRPr="00723562">
        <w:t>Sin embargo, y a pesar de ello, los valores de prevalencia de trastornos específicos del aprendizaje</w:t>
      </w:r>
      <w:r w:rsidR="00EE2481" w:rsidRPr="00723562">
        <w:t xml:space="preserve"> en estas U</w:t>
      </w:r>
      <w:r w:rsidRPr="00723562">
        <w:t xml:space="preserve">nidades </w:t>
      </w:r>
      <w:r w:rsidR="00EE2481" w:rsidRPr="00723562">
        <w:t>Educativas</w:t>
      </w:r>
      <w:r w:rsidRPr="00723562">
        <w:t xml:space="preserve">, ya sea </w:t>
      </w:r>
      <w:r w:rsidR="00B13536" w:rsidRPr="00723562">
        <w:t xml:space="preserve">de cada una de ellas </w:t>
      </w:r>
      <w:r w:rsidRPr="00723562">
        <w:t xml:space="preserve">por separado, como de </w:t>
      </w:r>
      <w:r w:rsidR="00B13536" w:rsidRPr="00723562">
        <w:t>todas en forma general</w:t>
      </w:r>
      <w:r w:rsidRPr="00723562">
        <w:t>, es elevado.</w:t>
      </w:r>
      <w:r w:rsidR="00B13536" w:rsidRPr="00723562">
        <w:t xml:space="preserve"> Pues, tal como se muestra en los resultados, se registra un 13.2% del to</w:t>
      </w:r>
      <w:r w:rsidR="00EE2481" w:rsidRPr="00723562">
        <w:t>tal de niños de 4to a 7mo grado, con trastornos específicos del aprendizaje.</w:t>
      </w:r>
    </w:p>
    <w:p w:rsidR="00BF2B0A" w:rsidRPr="00723562" w:rsidRDefault="00EE2481" w:rsidP="0000602F">
      <w:pPr>
        <w:spacing w:line="360" w:lineRule="auto"/>
        <w:jc w:val="both"/>
      </w:pPr>
      <w:r w:rsidRPr="00723562">
        <w:t>Esta cifra, si bien está dentro del rango de</w:t>
      </w:r>
      <w:r w:rsidR="00D453FE" w:rsidRPr="00723562">
        <w:t>l</w:t>
      </w:r>
      <w:r w:rsidRPr="00723562">
        <w:t xml:space="preserve"> 5% al 15%, tal como se plantea en el DSM-5, (</w:t>
      </w:r>
      <w:r w:rsidRPr="00723562">
        <w:rPr>
          <w:bCs/>
          <w:lang w:val="es-EC"/>
        </w:rPr>
        <w:t>American Psychiatric Association, 2013</w:t>
      </w:r>
      <w:r w:rsidRPr="00723562">
        <w:t>)</w:t>
      </w:r>
      <w:r w:rsidR="00D453FE" w:rsidRPr="00723562">
        <w:t xml:space="preserve">, dista del </w:t>
      </w:r>
      <w:r w:rsidRPr="00723562">
        <w:t xml:space="preserve">5% </w:t>
      </w:r>
      <w:r w:rsidR="00D453FE" w:rsidRPr="00723562">
        <w:t xml:space="preserve">aproximado que se refiere en la literatura, a partir de estudios </w:t>
      </w:r>
      <w:r w:rsidR="00662EB0" w:rsidRPr="00723562">
        <w:t xml:space="preserve">similares </w:t>
      </w:r>
      <w:r w:rsidR="00D453FE" w:rsidRPr="00723562">
        <w:t xml:space="preserve">de incidencia y prevalencia en poblaciones específicas (Lagae, 2008; </w:t>
      </w:r>
      <w:r w:rsidR="00D453FE" w:rsidRPr="00723562">
        <w:rPr>
          <w:lang w:val="es-EC"/>
        </w:rPr>
        <w:t>Málaga Diéguez, y Arias Álvarez, 2010</w:t>
      </w:r>
      <w:r w:rsidR="00D453FE" w:rsidRPr="00723562">
        <w:t>). E</w:t>
      </w:r>
      <w:r w:rsidR="00F76D45" w:rsidRPr="00723562">
        <w:t xml:space="preserve">sto </w:t>
      </w:r>
      <w:r w:rsidR="00D453FE" w:rsidRPr="00723562">
        <w:t xml:space="preserve">se hace más trascendente si se toma en consideración el infradiagnóstico que se refería anteriormente. Incluso, en una de las </w:t>
      </w:r>
      <w:r w:rsidR="00F76D45" w:rsidRPr="00723562">
        <w:t>u</w:t>
      </w:r>
      <w:r w:rsidR="00D453FE" w:rsidRPr="00723562">
        <w:t xml:space="preserve">nidades </w:t>
      </w:r>
      <w:r w:rsidR="00F76D45" w:rsidRPr="00723562">
        <w:t>e</w:t>
      </w:r>
      <w:r w:rsidR="00D453FE" w:rsidRPr="00723562">
        <w:t xml:space="preserve">ducativas, está por encima del 15%, ubicándose por encima </w:t>
      </w:r>
      <w:r w:rsidR="00662EB0" w:rsidRPr="00723562">
        <w:t>inclusive</w:t>
      </w:r>
      <w:r w:rsidR="00D453FE" w:rsidRPr="00723562">
        <w:t xml:space="preserve"> del 17%, lo cual es alarmante en extremo.</w:t>
      </w:r>
    </w:p>
    <w:p w:rsidR="00662EB0" w:rsidRPr="00723562" w:rsidRDefault="00662EB0" w:rsidP="0000602F">
      <w:pPr>
        <w:spacing w:line="360" w:lineRule="auto"/>
        <w:jc w:val="both"/>
      </w:pPr>
      <w:r w:rsidRPr="00723562">
        <w:lastRenderedPageBreak/>
        <w:t>Con este primer resultado se ha logrado el propósito de disponer de los datos empíricos precisos, que van a permitir demostrar, sobre todo a las autoridades académicas, la transcendencia del problema, y la necesidad inmediata de tomar cartas en un asunto que afecta de manera directa o indirecta el desarrollo de la educación en la región.</w:t>
      </w:r>
    </w:p>
    <w:p w:rsidR="006620AD" w:rsidRPr="00723562" w:rsidRDefault="00662EB0" w:rsidP="0000602F">
      <w:pPr>
        <w:spacing w:line="360" w:lineRule="auto"/>
        <w:jc w:val="both"/>
      </w:pPr>
      <w:r w:rsidRPr="00723562">
        <w:t xml:space="preserve">En relación a las áreas académicas donde se han registrado los </w:t>
      </w:r>
      <w:r w:rsidR="00D453FE" w:rsidRPr="00723562">
        <w:t>trastornos específicos del aprendizaje</w:t>
      </w:r>
      <w:r w:rsidR="006620AD" w:rsidRPr="00723562">
        <w:t>, si bien las cifras siguen siendo alarmantes de modo general, al interno se observa una distribución de las formas específicas del trastorno, similar a lo registrado en otras investigaciones, sobre todo e</w:t>
      </w:r>
      <w:r w:rsidR="007C491E" w:rsidRPr="00723562">
        <w:t xml:space="preserve">n </w:t>
      </w:r>
      <w:r w:rsidR="006620AD" w:rsidRPr="00723562">
        <w:t>Latinoamérica</w:t>
      </w:r>
      <w:r w:rsidR="007C491E" w:rsidRPr="00723562">
        <w:t xml:space="preserve"> (Bravo-Valdivieso, Milicic-Müller, Cuadro, Mejía, y Eslava, 2009)</w:t>
      </w:r>
      <w:r w:rsidR="006620AD" w:rsidRPr="00723562">
        <w:t xml:space="preserve">. </w:t>
      </w:r>
      <w:r w:rsidR="00F76D45" w:rsidRPr="00723562">
        <w:t>Lo mismo</w:t>
      </w:r>
      <w:r w:rsidR="006620AD" w:rsidRPr="00723562">
        <w:t xml:space="preserve"> se evidencia, por ejemplo, en los trastornos específicos del aprendizaje</w:t>
      </w:r>
      <w:r w:rsidR="00D453FE" w:rsidRPr="00723562">
        <w:t xml:space="preserve"> </w:t>
      </w:r>
      <w:r w:rsidR="006620AD" w:rsidRPr="00723562">
        <w:t>de la lectura, los cuales se registran en más del 30% de la población de niños con trastornos del aprendizaje; tal como se refiere de otros estudios (</w:t>
      </w:r>
      <w:r w:rsidR="006620AD" w:rsidRPr="00723562">
        <w:rPr>
          <w:lang w:val="es-EC"/>
        </w:rPr>
        <w:t xml:space="preserve">De los Reyes-Aragón, Lewis-Harb, Mendoza-Rebolledo, Neira-Meza, León-Jacobus, y Peña-Ortiz, 2008; </w:t>
      </w:r>
      <w:r w:rsidR="006620AD" w:rsidRPr="00723562">
        <w:t xml:space="preserve">García-Mateos, Mayor-Cinca, Santiago-Herrero, y Zubiauz de Pedro, 2014; Jiménez, Guzmán, Rodríguez, y Artiles, 2009).  </w:t>
      </w:r>
    </w:p>
    <w:p w:rsidR="00D453FE" w:rsidRPr="00723562" w:rsidRDefault="00D453FE" w:rsidP="0000602F">
      <w:pPr>
        <w:spacing w:line="360" w:lineRule="auto"/>
        <w:jc w:val="both"/>
      </w:pPr>
      <w:r w:rsidRPr="00723562">
        <w:t xml:space="preserve">En el </w:t>
      </w:r>
      <w:r w:rsidR="006620AD" w:rsidRPr="00723562">
        <w:t>caso de las</w:t>
      </w:r>
      <w:r w:rsidRPr="00723562">
        <w:t xml:space="preserve"> dificultades específicas para el razonamiento matemático, y el dominio del sentido numérico</w:t>
      </w:r>
      <w:r w:rsidR="006620AD" w:rsidRPr="00723562">
        <w:t>, también las cifras son similares a otros estudios (León-Marín, Pérez-SanGregorio, Folk-Madrid, y Santamaría-Mena, 1993)</w:t>
      </w:r>
      <w:r w:rsidRPr="00723562">
        <w:t xml:space="preserve">. </w:t>
      </w:r>
      <w:r w:rsidR="007C491E" w:rsidRPr="00723562">
        <w:t xml:space="preserve">Lo mismo sucede con las dificultades para </w:t>
      </w:r>
      <w:r w:rsidRPr="00723562">
        <w:t>la comprensión de los significados</w:t>
      </w:r>
      <w:r w:rsidR="007C491E" w:rsidRPr="00723562">
        <w:t xml:space="preserve"> y </w:t>
      </w:r>
      <w:r w:rsidRPr="00723562">
        <w:t>para la expresión escrita</w:t>
      </w:r>
      <w:r w:rsidR="007C491E" w:rsidRPr="00723562">
        <w:t xml:space="preserve"> (</w:t>
      </w:r>
      <w:r w:rsidR="007C491E" w:rsidRPr="00723562">
        <w:rPr>
          <w:lang w:val="es-EC"/>
        </w:rPr>
        <w:t xml:space="preserve">De los Reyes-Aragón, Lewis-Harb, Mendoza-Rebolledo, Neira-Meza, León-Jacobus, y Peña-Ortiz, 2008; </w:t>
      </w:r>
      <w:r w:rsidR="007C491E" w:rsidRPr="00723562">
        <w:t>García-Mateos, Mayor-Cinca, Santiago-Herrero, y Zubiauz de Pedro, 2014; Jiménez, Guzmán, Rodríguez, y Artiles, 2009)</w:t>
      </w:r>
      <w:r w:rsidRPr="00723562">
        <w:t>.</w:t>
      </w:r>
    </w:p>
    <w:p w:rsidR="00D453FE" w:rsidRPr="00723562" w:rsidRDefault="00E617D8" w:rsidP="0000602F">
      <w:pPr>
        <w:spacing w:line="360" w:lineRule="auto"/>
        <w:jc w:val="both"/>
      </w:pPr>
      <w:r w:rsidRPr="00723562">
        <w:t>En relación a los restantes indicadores considerados para la caracterización sociodemográfica de los trastornos específicos del aprendizaje, se observa una marcada variabilidad interindividual, que de alguna forma conduce a asumir que no hay una correlación directa entre los trastornos identificados, y aspectos sociales o demográficos, como el nivel de escolaridad de los padres, la zona de residencia, o el nivel socioeconómico.</w:t>
      </w:r>
    </w:p>
    <w:p w:rsidR="00E617D8" w:rsidRPr="00723562" w:rsidRDefault="00E617D8" w:rsidP="0000602F">
      <w:pPr>
        <w:spacing w:line="360" w:lineRule="auto"/>
        <w:jc w:val="both"/>
      </w:pPr>
      <w:r w:rsidRPr="00723562">
        <w:t xml:space="preserve">No obstante, se considera pertinente ampliar el estudio a otras </w:t>
      </w:r>
      <w:r w:rsidR="008766D3" w:rsidRPr="00723562">
        <w:t>U</w:t>
      </w:r>
      <w:r w:rsidRPr="00723562">
        <w:t xml:space="preserve">nidades Educativas, de modo que no solo se pueda tener una mejor representación del fenómeno a escala local, sino </w:t>
      </w:r>
      <w:r w:rsidR="00FB0A21" w:rsidRPr="00723562">
        <w:t xml:space="preserve">que </w:t>
      </w:r>
      <w:r w:rsidRPr="00723562">
        <w:t>además permita obtener datos suficientes como para poder hacer correlaciones precisas entre las formas de trastornos específicos del aprendizaje</w:t>
      </w:r>
      <w:r w:rsidR="008766D3" w:rsidRPr="00723562">
        <w:t xml:space="preserve">, y otras variables sociodemográficas, sobre todo, el nivel </w:t>
      </w:r>
      <w:r w:rsidR="008766D3" w:rsidRPr="00723562">
        <w:lastRenderedPageBreak/>
        <w:t>escolar, y el estatus socioeconómico. Con e</w:t>
      </w:r>
      <w:r w:rsidR="00F76D45" w:rsidRPr="00723562">
        <w:t>sto</w:t>
      </w:r>
      <w:r w:rsidR="008766D3" w:rsidRPr="00723562">
        <w:t xml:space="preserve"> se podrían aportar datos relevantes para valorar la influencia de estos factores en el aprendizaje y el desarrollo intelectual de los niños.</w:t>
      </w:r>
    </w:p>
    <w:p w:rsidR="008766D3" w:rsidRPr="00723562" w:rsidRDefault="008766D3" w:rsidP="0000602F">
      <w:pPr>
        <w:spacing w:line="360" w:lineRule="auto"/>
        <w:jc w:val="both"/>
      </w:pPr>
      <w:r w:rsidRPr="00723562">
        <w:t xml:space="preserve">De modo general, las intenciones con las cuales se concibió este estudio han sido satisfechas. Esta investigación marca el inicio de una línea de </w:t>
      </w:r>
      <w:r w:rsidR="00FB0A21" w:rsidRPr="00723562">
        <w:t>trabajo</w:t>
      </w:r>
      <w:r w:rsidRPr="00723562">
        <w:t xml:space="preserve"> sobre los problemas del aprendizaje en la región, y sus resultados permiten</w:t>
      </w:r>
      <w:r w:rsidR="00FB0A21" w:rsidRPr="00723562">
        <w:t xml:space="preserve"> marcar las tendencias de estudio más trascendentes en este contexto.</w:t>
      </w:r>
    </w:p>
    <w:p w:rsidR="00FA651D" w:rsidRDefault="00FA651D" w:rsidP="0000602F">
      <w:pPr>
        <w:spacing w:line="360" w:lineRule="auto"/>
        <w:jc w:val="both"/>
        <w:rPr>
          <w:b/>
        </w:rPr>
      </w:pPr>
    </w:p>
    <w:p w:rsidR="00BB4AD3" w:rsidRPr="00723562" w:rsidRDefault="0075264A" w:rsidP="0000602F">
      <w:pPr>
        <w:spacing w:line="360" w:lineRule="auto"/>
        <w:jc w:val="both"/>
        <w:rPr>
          <w:b/>
        </w:rPr>
      </w:pPr>
      <w:r w:rsidRPr="00723562">
        <w:rPr>
          <w:b/>
        </w:rPr>
        <w:t>R</w:t>
      </w:r>
      <w:r w:rsidR="00FA651D" w:rsidRPr="00723562">
        <w:rPr>
          <w:b/>
        </w:rPr>
        <w:t xml:space="preserve">eferencias </w:t>
      </w:r>
      <w:r w:rsidRPr="00723562">
        <w:rPr>
          <w:b/>
        </w:rPr>
        <w:t>B</w:t>
      </w:r>
      <w:r w:rsidR="00FA651D" w:rsidRPr="00723562">
        <w:rPr>
          <w:b/>
        </w:rPr>
        <w:t>ibliográficas</w:t>
      </w:r>
    </w:p>
    <w:p w:rsidR="00D223DD" w:rsidRPr="00723562" w:rsidRDefault="00D223DD" w:rsidP="0000602F">
      <w:pPr>
        <w:tabs>
          <w:tab w:val="left" w:pos="567"/>
        </w:tabs>
        <w:autoSpaceDE w:val="0"/>
        <w:autoSpaceDN w:val="0"/>
        <w:adjustRightInd w:val="0"/>
        <w:spacing w:line="360" w:lineRule="auto"/>
        <w:ind w:left="567" w:hanging="567"/>
        <w:jc w:val="both"/>
        <w:rPr>
          <w:bCs/>
          <w:lang w:val="en-US"/>
        </w:rPr>
      </w:pPr>
      <w:r w:rsidRPr="00723562">
        <w:rPr>
          <w:bCs/>
          <w:lang w:val="en-US"/>
        </w:rPr>
        <w:t>American Psychiatric Association (1995). Diagnostic and Statistical Manual of Mental Disorders, DSM-IV. Washington, DC: APA.</w:t>
      </w:r>
    </w:p>
    <w:p w:rsidR="00D223DD" w:rsidRPr="00723562" w:rsidRDefault="00D223DD" w:rsidP="0000602F">
      <w:pPr>
        <w:tabs>
          <w:tab w:val="left" w:pos="567"/>
        </w:tabs>
        <w:autoSpaceDE w:val="0"/>
        <w:autoSpaceDN w:val="0"/>
        <w:adjustRightInd w:val="0"/>
        <w:spacing w:line="360" w:lineRule="auto"/>
        <w:ind w:left="567" w:hanging="567"/>
        <w:jc w:val="both"/>
        <w:rPr>
          <w:bCs/>
          <w:lang w:val="en-US"/>
        </w:rPr>
      </w:pPr>
      <w:r w:rsidRPr="00723562">
        <w:rPr>
          <w:bCs/>
          <w:lang w:val="en-US"/>
        </w:rPr>
        <w:t>American Psychiatric Association (2000). Diagnostic and Statistical Manual of Mental Disorders, DSM-IV-TR. Washington, DC: APA.</w:t>
      </w:r>
    </w:p>
    <w:p w:rsidR="00D223DD" w:rsidRPr="00723562" w:rsidRDefault="00D223DD" w:rsidP="0000602F">
      <w:pPr>
        <w:tabs>
          <w:tab w:val="left" w:pos="567"/>
        </w:tabs>
        <w:autoSpaceDE w:val="0"/>
        <w:autoSpaceDN w:val="0"/>
        <w:adjustRightInd w:val="0"/>
        <w:spacing w:line="360" w:lineRule="auto"/>
        <w:ind w:left="567" w:hanging="567"/>
        <w:jc w:val="both"/>
        <w:rPr>
          <w:bCs/>
          <w:lang w:val="es-EC"/>
        </w:rPr>
      </w:pPr>
      <w:r w:rsidRPr="00723562">
        <w:rPr>
          <w:bCs/>
          <w:lang w:val="en-US"/>
        </w:rPr>
        <w:t>American Psychiatric Association. (2013). Diagnostic and Statistical Manual of Mental Disorders, DSM-5</w:t>
      </w:r>
      <w:r w:rsidRPr="00723562">
        <w:rPr>
          <w:bCs/>
          <w:vertAlign w:val="superscript"/>
          <w:lang w:val="en-US"/>
        </w:rPr>
        <w:t>TM</w:t>
      </w:r>
      <w:r w:rsidRPr="00723562">
        <w:rPr>
          <w:bCs/>
          <w:lang w:val="en-US"/>
        </w:rPr>
        <w:t xml:space="preserve">. </w:t>
      </w:r>
      <w:r w:rsidRPr="00723562">
        <w:rPr>
          <w:bCs/>
          <w:lang w:val="es-EC"/>
        </w:rPr>
        <w:t>Washington, DC: APA.</w:t>
      </w:r>
    </w:p>
    <w:p w:rsidR="00D223DD" w:rsidRPr="00723562" w:rsidRDefault="00D223DD" w:rsidP="0000602F">
      <w:pPr>
        <w:tabs>
          <w:tab w:val="left" w:pos="567"/>
        </w:tabs>
        <w:spacing w:line="360" w:lineRule="auto"/>
        <w:ind w:left="567" w:hanging="567"/>
        <w:jc w:val="both"/>
      </w:pPr>
      <w:r w:rsidRPr="00723562">
        <w:t>Arias, J. (2003).  Dificultades de aprendizaje. Universidad Pedagógica Nacional. Facultad de Ciencias y Educación. Bogotá.</w:t>
      </w:r>
    </w:p>
    <w:p w:rsidR="00D223DD" w:rsidRPr="00723562" w:rsidRDefault="00D223DD" w:rsidP="0000602F">
      <w:pPr>
        <w:tabs>
          <w:tab w:val="left" w:pos="567"/>
        </w:tabs>
        <w:spacing w:line="360" w:lineRule="auto"/>
        <w:ind w:left="567" w:hanging="567"/>
        <w:jc w:val="both"/>
        <w:rPr>
          <w:lang w:val="es-EC"/>
        </w:rPr>
      </w:pPr>
      <w:r w:rsidRPr="00723562">
        <w:rPr>
          <w:lang w:val="es-EC"/>
        </w:rPr>
        <w:t xml:space="preserve">Bender, W. (2004). Learning Disabilities. </w:t>
      </w:r>
      <w:r w:rsidRPr="00723562">
        <w:rPr>
          <w:lang w:val="en-US"/>
        </w:rPr>
        <w:t xml:space="preserve">Characteristics, identification and teaching strategies. </w:t>
      </w:r>
      <w:r w:rsidRPr="00723562">
        <w:rPr>
          <w:lang w:val="es-EC"/>
        </w:rPr>
        <w:t>Unites States: Pearson, Allyn and Bacon.</w:t>
      </w:r>
    </w:p>
    <w:p w:rsidR="00D223DD" w:rsidRPr="00723562" w:rsidRDefault="00D223DD" w:rsidP="0000602F">
      <w:pPr>
        <w:tabs>
          <w:tab w:val="left" w:pos="567"/>
        </w:tabs>
        <w:spacing w:line="360" w:lineRule="auto"/>
        <w:ind w:left="567" w:hanging="567"/>
        <w:jc w:val="both"/>
      </w:pPr>
      <w:r w:rsidRPr="00723562">
        <w:t>Bravo-Valdivieso, L., Milicic-Müller, N., Cuadro, A., Mejía, L., y Eslava, J. (2009). Trastornos del aprendizaje: investigaciones psicológicas y psicopedagógicas en diversos países de sudamérica. Ciencias Psicológicas, III, 2, 203-218.</w:t>
      </w:r>
    </w:p>
    <w:p w:rsidR="00D223DD" w:rsidRPr="00723562" w:rsidRDefault="00D223DD" w:rsidP="0000602F">
      <w:pPr>
        <w:tabs>
          <w:tab w:val="left" w:pos="567"/>
        </w:tabs>
        <w:spacing w:line="360" w:lineRule="auto"/>
        <w:ind w:left="567" w:hanging="567"/>
        <w:jc w:val="both"/>
        <w:rPr>
          <w:lang w:val="es-EC"/>
        </w:rPr>
      </w:pPr>
      <w:r w:rsidRPr="00723562">
        <w:rPr>
          <w:lang w:val="es-EC"/>
        </w:rPr>
        <w:t>De los Reyes-Aragón, C., Lewis-Harb, S., Mendoza-Rebolledo, C., Neira-Meza, D., León-Jacobus, A., y Peña-Ortiz, D. (2008). Estudio de prevalencia de dificultades de lectura en niños escolarizados de 7 años de Barranquilla (Colombia). Psicología desde el Caribe, 22, 37-49.</w:t>
      </w:r>
    </w:p>
    <w:p w:rsidR="00D223DD" w:rsidRPr="00723562" w:rsidRDefault="00D223DD" w:rsidP="0000602F">
      <w:pPr>
        <w:tabs>
          <w:tab w:val="left" w:pos="567"/>
        </w:tabs>
        <w:spacing w:line="360" w:lineRule="auto"/>
        <w:ind w:left="567" w:hanging="567"/>
        <w:jc w:val="both"/>
      </w:pPr>
      <w:r w:rsidRPr="00723562">
        <w:t>Eslava Cobos, J., Mejía de Eslava, L., Quintanar, L. y Solovieva, Y. (2008). Los trastornos del Aprendizaje: perspectivas neuropsicológicas. Bogotá: Editorial Magisterio.</w:t>
      </w:r>
    </w:p>
    <w:p w:rsidR="00D223DD" w:rsidRPr="00723562" w:rsidRDefault="00D223DD" w:rsidP="0000602F">
      <w:pPr>
        <w:tabs>
          <w:tab w:val="left" w:pos="567"/>
        </w:tabs>
        <w:spacing w:line="360" w:lineRule="auto"/>
        <w:ind w:left="567" w:hanging="567"/>
        <w:jc w:val="both"/>
      </w:pPr>
      <w:r w:rsidRPr="00723562">
        <w:t xml:space="preserve">García-Mateos, M., Mayor-Cinca, M.A., Santiago-Herrero, J., y Zubiauz de Pedro, B. (2014). Prevalencia de las patologías del habla, del lenguaje y de la comunicación. Un estudio a lo largo del ciclo vital. Revista </w:t>
      </w:r>
      <w:r w:rsidR="001D06DC" w:rsidRPr="00723562">
        <w:t>de Logopedia</w:t>
      </w:r>
      <w:r w:rsidRPr="00723562">
        <w:t>, Foniatría y Audiología, 34, 163-170.</w:t>
      </w:r>
    </w:p>
    <w:p w:rsidR="00D223DD" w:rsidRPr="00723562" w:rsidRDefault="00D223DD" w:rsidP="0000602F">
      <w:pPr>
        <w:tabs>
          <w:tab w:val="left" w:pos="567"/>
        </w:tabs>
        <w:spacing w:line="360" w:lineRule="auto"/>
        <w:ind w:left="567" w:hanging="567"/>
        <w:jc w:val="both"/>
      </w:pPr>
      <w:r w:rsidRPr="00723562">
        <w:lastRenderedPageBreak/>
        <w:t>García-Nonell, C., Rigau-Ratera, E., y Artigas-Pallarés, J. (2006). Perfil neurocognitivo del trastorno de aprendizaje no verbal. Revista de Neurología, 43, 268-74.</w:t>
      </w:r>
    </w:p>
    <w:p w:rsidR="00D223DD" w:rsidRPr="00723562" w:rsidRDefault="00D223DD" w:rsidP="0000602F">
      <w:pPr>
        <w:tabs>
          <w:tab w:val="left" w:pos="567"/>
        </w:tabs>
        <w:spacing w:line="360" w:lineRule="auto"/>
        <w:ind w:left="567" w:hanging="567"/>
        <w:jc w:val="both"/>
        <w:rPr>
          <w:lang w:val="en-US"/>
        </w:rPr>
      </w:pPr>
      <w:r w:rsidRPr="00723562">
        <w:t xml:space="preserve">González, D., Jiménez, J. E., García, E., Díaz, A., Rodríguez, C., y Crespo, P. (2010). Prevalencia de las dificultades específicas de aprendizaje en la Educación Secundaria Obligatoria. </w:t>
      </w:r>
      <w:r w:rsidRPr="00723562">
        <w:rPr>
          <w:lang w:val="en-US"/>
        </w:rPr>
        <w:t>European Journal of Education and Psychology, 3(2), 317-327.</w:t>
      </w:r>
    </w:p>
    <w:p w:rsidR="00D223DD" w:rsidRPr="00723562" w:rsidRDefault="00D223DD" w:rsidP="0000602F">
      <w:pPr>
        <w:tabs>
          <w:tab w:val="left" w:pos="567"/>
        </w:tabs>
        <w:spacing w:line="360" w:lineRule="auto"/>
        <w:ind w:left="567" w:hanging="567"/>
        <w:jc w:val="both"/>
        <w:rPr>
          <w:lang w:val="es-EC"/>
        </w:rPr>
      </w:pPr>
      <w:r w:rsidRPr="00723562">
        <w:rPr>
          <w:bCs/>
          <w:lang w:val="en-US"/>
        </w:rPr>
        <w:t xml:space="preserve">Hales, R.E., Yudofsky, S.C. y Talbott, J.A. (2000). </w:t>
      </w:r>
      <w:r w:rsidRPr="00723562">
        <w:rPr>
          <w:bCs/>
          <w:lang w:val="es-EC"/>
        </w:rPr>
        <w:t>Tratado de Psiquiatría. Barcelona: Masson.</w:t>
      </w:r>
    </w:p>
    <w:p w:rsidR="00D223DD" w:rsidRPr="00723562" w:rsidRDefault="00D223DD" w:rsidP="0000602F">
      <w:pPr>
        <w:tabs>
          <w:tab w:val="left" w:pos="567"/>
        </w:tabs>
        <w:spacing w:line="360" w:lineRule="auto"/>
        <w:ind w:left="567" w:hanging="567"/>
        <w:jc w:val="both"/>
        <w:rPr>
          <w:lang w:val="en-US"/>
        </w:rPr>
      </w:pPr>
      <w:r w:rsidRPr="00723562">
        <w:t xml:space="preserve">Jiménez, J. E., Guzmán, R., Rodríguez, C. y Artiles, C. (2009). Prevalencia de las dificultades específicas de aprendizaje: la dislexia en español. </w:t>
      </w:r>
      <w:r w:rsidRPr="00723562">
        <w:rPr>
          <w:lang w:val="en-US"/>
        </w:rPr>
        <w:t>Anales de Psicología, 25(1), 78-85.</w:t>
      </w:r>
    </w:p>
    <w:p w:rsidR="00D223DD" w:rsidRPr="00723562" w:rsidRDefault="00D223DD" w:rsidP="0000602F">
      <w:pPr>
        <w:tabs>
          <w:tab w:val="left" w:pos="567"/>
        </w:tabs>
        <w:spacing w:line="360" w:lineRule="auto"/>
        <w:ind w:left="567" w:hanging="567"/>
        <w:jc w:val="both"/>
        <w:rPr>
          <w:lang w:val="en-US"/>
        </w:rPr>
      </w:pPr>
      <w:r w:rsidRPr="00723562">
        <w:rPr>
          <w:lang w:val="en-US"/>
        </w:rPr>
        <w:t>Johnson, D. (1995). An overview of learning disabilities: psychoeducational perspectives. Journal of Child Neurology, 10, Suplem1, 2-5.</w:t>
      </w:r>
    </w:p>
    <w:p w:rsidR="00D223DD" w:rsidRPr="00723562" w:rsidRDefault="00D223DD" w:rsidP="0000602F">
      <w:pPr>
        <w:tabs>
          <w:tab w:val="left" w:pos="567"/>
        </w:tabs>
        <w:spacing w:line="360" w:lineRule="auto"/>
        <w:ind w:left="567" w:hanging="567"/>
        <w:jc w:val="both"/>
        <w:rPr>
          <w:lang w:val="en-US"/>
        </w:rPr>
      </w:pPr>
      <w:r w:rsidRPr="00723562">
        <w:rPr>
          <w:lang w:val="en-US"/>
        </w:rPr>
        <w:t>Karande, S. (2005). Specific learning disability: the invisible handicap. Indian Pediatrics, 42, 17, 315-9.</w:t>
      </w:r>
    </w:p>
    <w:p w:rsidR="00D223DD" w:rsidRPr="00723562" w:rsidRDefault="00D223DD" w:rsidP="0000602F">
      <w:pPr>
        <w:tabs>
          <w:tab w:val="left" w:pos="567"/>
        </w:tabs>
        <w:spacing w:line="360" w:lineRule="auto"/>
        <w:ind w:left="567" w:hanging="567"/>
        <w:jc w:val="both"/>
        <w:rPr>
          <w:lang w:val="es-EC"/>
        </w:rPr>
      </w:pPr>
      <w:r w:rsidRPr="00723562">
        <w:rPr>
          <w:lang w:val="en-US"/>
        </w:rPr>
        <w:t xml:space="preserve">Lagae, L. (2008). Learning Disabilities: Definitions, Epidemiology, Diagnosis and Intervention Strategies. </w:t>
      </w:r>
      <w:r w:rsidRPr="00723562">
        <w:rPr>
          <w:lang w:val="es-EC"/>
        </w:rPr>
        <w:t>Pediatric Clinical of North America, 55, 1259-1268.</w:t>
      </w:r>
    </w:p>
    <w:p w:rsidR="00D223DD" w:rsidRPr="00723562" w:rsidRDefault="00D223DD" w:rsidP="0000602F">
      <w:pPr>
        <w:tabs>
          <w:tab w:val="left" w:pos="567"/>
        </w:tabs>
        <w:spacing w:line="360" w:lineRule="auto"/>
        <w:ind w:left="567" w:hanging="567"/>
        <w:jc w:val="both"/>
      </w:pPr>
      <w:r w:rsidRPr="00723562">
        <w:t>León-Marín, M.R., Pérez-San Gregorio, M.A., Folk-Madrid, A., y Santamaría-Mena, M. (1993). Trastornos de las habilidades académicas. Relación de las mismas con pautas de interacción familiar. Psicothema, 5 (1), 33-34.</w:t>
      </w:r>
    </w:p>
    <w:p w:rsidR="00D223DD" w:rsidRPr="00723562" w:rsidRDefault="00D223DD" w:rsidP="0000602F">
      <w:pPr>
        <w:tabs>
          <w:tab w:val="left" w:pos="567"/>
        </w:tabs>
        <w:spacing w:line="360" w:lineRule="auto"/>
        <w:ind w:left="567" w:hanging="567"/>
        <w:jc w:val="both"/>
      </w:pPr>
      <w:r w:rsidRPr="00723562">
        <w:t>Magallón, S., y Narbona, J. (2009). Detección y estudios específicos en el trastorno de aprendizaje procesal. Revista de Neurología, 48, Supl. 2, S71-S76.</w:t>
      </w:r>
    </w:p>
    <w:p w:rsidR="00D223DD" w:rsidRPr="00723562" w:rsidRDefault="00D223DD" w:rsidP="0000602F">
      <w:pPr>
        <w:tabs>
          <w:tab w:val="left" w:pos="567"/>
        </w:tabs>
        <w:spacing w:line="360" w:lineRule="auto"/>
        <w:ind w:left="567" w:hanging="567"/>
        <w:jc w:val="both"/>
        <w:rPr>
          <w:lang w:val="es-EC"/>
        </w:rPr>
      </w:pPr>
      <w:r w:rsidRPr="00723562">
        <w:rPr>
          <w:lang w:val="es-EC"/>
        </w:rPr>
        <w:t>Málaga Diéguez, I., y Arias Álvarez, J. (2010). Los trastornos del aprendizaje. Definición de los distintos tipos y sus bases neurobiológicas.</w:t>
      </w:r>
      <w:r w:rsidRPr="00723562">
        <w:t xml:space="preserve"> </w:t>
      </w:r>
      <w:r w:rsidRPr="00723562">
        <w:rPr>
          <w:lang w:val="es-EC"/>
        </w:rPr>
        <w:t>Boletín Pediátrico, 50, 43-47.</w:t>
      </w:r>
    </w:p>
    <w:p w:rsidR="00D223DD" w:rsidRPr="00723562" w:rsidRDefault="00D223DD" w:rsidP="0000602F">
      <w:pPr>
        <w:tabs>
          <w:tab w:val="left" w:pos="567"/>
        </w:tabs>
        <w:spacing w:line="360" w:lineRule="auto"/>
        <w:ind w:left="567" w:hanging="567"/>
        <w:jc w:val="both"/>
      </w:pPr>
      <w:r w:rsidRPr="00723562">
        <w:t>Mateos-Mateos, R., y López-Guinea, C. (2011). Dificultades de aprendizaje. Problemas del diagnóstico tardío y/o del infradiagnóstico. Revista Educación Inclusiva, Vol. 4, Nº. 1, 103-111.</w:t>
      </w:r>
    </w:p>
    <w:p w:rsidR="00D223DD" w:rsidRPr="00723562" w:rsidRDefault="00D223DD" w:rsidP="0000602F">
      <w:pPr>
        <w:tabs>
          <w:tab w:val="left" w:pos="567"/>
        </w:tabs>
        <w:spacing w:line="360" w:lineRule="auto"/>
        <w:ind w:left="567" w:hanging="567"/>
        <w:jc w:val="both"/>
        <w:rPr>
          <w:lang w:val="en-US"/>
        </w:rPr>
      </w:pPr>
      <w:r w:rsidRPr="00723562">
        <w:rPr>
          <w:lang w:val="en-US"/>
        </w:rPr>
        <w:t>McLaughlin, M.J., Dyson, A., Nagle, K., Thurlow, M., Rouse, M., Hardman, M., Norwich, B., Burke, P., y Perlin, M. (2006). Cross-cultural perspectives on the classification of children with disabilities. The Journal of Special Education, 40, 46-58.</w:t>
      </w:r>
    </w:p>
    <w:p w:rsidR="00D223DD" w:rsidRPr="00723562" w:rsidRDefault="00D223DD" w:rsidP="0000602F">
      <w:pPr>
        <w:tabs>
          <w:tab w:val="left" w:pos="567"/>
        </w:tabs>
        <w:spacing w:line="360" w:lineRule="auto"/>
        <w:ind w:left="567" w:hanging="567"/>
        <w:jc w:val="both"/>
      </w:pPr>
      <w:r w:rsidRPr="00723562">
        <w:rPr>
          <w:lang w:val="en-US"/>
        </w:rPr>
        <w:t xml:space="preserve">Quintanar-Rojas, L., y Solovieva, Y. (2005). </w:t>
      </w:r>
      <w:r w:rsidRPr="00723562">
        <w:t>Análisis neuropsicológico de los problemas en el aprendizaje escolar. Revista Internacional del Magisterio, 15, 26-30.</w:t>
      </w:r>
    </w:p>
    <w:p w:rsidR="00D223DD" w:rsidRPr="00723562" w:rsidRDefault="00D223DD" w:rsidP="0000602F">
      <w:pPr>
        <w:tabs>
          <w:tab w:val="left" w:pos="567"/>
        </w:tabs>
        <w:spacing w:line="360" w:lineRule="auto"/>
        <w:ind w:left="567" w:hanging="567"/>
        <w:jc w:val="both"/>
      </w:pPr>
      <w:r w:rsidRPr="00723562">
        <w:t>Sánchez-Escobedo, P.A., y Pinto-Sosa, P.E. (1995). Incidencia de los problemas que afectan a los niños de primaria en Yucatán, México. Educación y Ciencia, 4 (12), 31-41.</w:t>
      </w:r>
    </w:p>
    <w:p w:rsidR="00D223DD" w:rsidRPr="00723562" w:rsidRDefault="00D223DD" w:rsidP="0000602F">
      <w:pPr>
        <w:tabs>
          <w:tab w:val="left" w:pos="567"/>
        </w:tabs>
        <w:spacing w:line="360" w:lineRule="auto"/>
        <w:ind w:left="567" w:hanging="567"/>
        <w:jc w:val="both"/>
      </w:pPr>
      <w:r w:rsidRPr="00723562">
        <w:lastRenderedPageBreak/>
        <w:t>Solovieva, Y. (2014). Intervención neuropsicológica infantil: diversidad de posibilidades. Revista Chilena de Neuropsicología, 9, 46-48.</w:t>
      </w:r>
    </w:p>
    <w:p w:rsidR="00D223DD" w:rsidRPr="00723562" w:rsidRDefault="00D223DD" w:rsidP="0000602F">
      <w:pPr>
        <w:tabs>
          <w:tab w:val="left" w:pos="567"/>
        </w:tabs>
        <w:spacing w:line="360" w:lineRule="auto"/>
        <w:ind w:left="567" w:hanging="567"/>
        <w:jc w:val="both"/>
        <w:rPr>
          <w:lang w:val="en-US"/>
        </w:rPr>
      </w:pPr>
      <w:r w:rsidRPr="00723562">
        <w:t xml:space="preserve">Soriano, M., Miranda, A., y Cuenca, I. (1999). Intervención psicopedagógica en las dificultades del aprendizaje escolar. </w:t>
      </w:r>
      <w:r w:rsidRPr="00723562">
        <w:rPr>
          <w:lang w:val="en-US"/>
        </w:rPr>
        <w:t>Revista de Neurología, 28, Supl. 2, S94-S100.</w:t>
      </w:r>
    </w:p>
    <w:p w:rsidR="00D223DD" w:rsidRPr="00723562" w:rsidRDefault="00D223DD" w:rsidP="0000602F">
      <w:pPr>
        <w:tabs>
          <w:tab w:val="left" w:pos="567"/>
        </w:tabs>
        <w:spacing w:line="360" w:lineRule="auto"/>
        <w:ind w:left="567" w:hanging="567"/>
        <w:jc w:val="both"/>
      </w:pPr>
      <w:r w:rsidRPr="00723562">
        <w:rPr>
          <w:lang w:val="en-US"/>
        </w:rPr>
        <w:t xml:space="preserve">Snowling, M.J. (2003). Specific learning difficulties. </w:t>
      </w:r>
      <w:r w:rsidRPr="00723562">
        <w:t>Psychiatry 2003, 4, 110-113.</w:t>
      </w:r>
    </w:p>
    <w:p w:rsidR="00D223DD" w:rsidRPr="00723562" w:rsidRDefault="00D223DD" w:rsidP="0000602F">
      <w:pPr>
        <w:tabs>
          <w:tab w:val="left" w:pos="567"/>
        </w:tabs>
        <w:spacing w:line="360" w:lineRule="auto"/>
        <w:ind w:left="567" w:hanging="567"/>
        <w:jc w:val="both"/>
        <w:rPr>
          <w:lang w:val="en-US"/>
        </w:rPr>
      </w:pPr>
      <w:r w:rsidRPr="00723562">
        <w:t xml:space="preserve">Talero, C., Espinosa, A., y Vélez, A. (2005). Dificultad del aprendizaje de la lectura en las escuelas de una localidad de Bogotá. </w:t>
      </w:r>
      <w:r w:rsidRPr="00723562">
        <w:rPr>
          <w:lang w:val="en-US"/>
        </w:rPr>
        <w:t>Acta Neurológica Colombiana, 21, 280-288.</w:t>
      </w:r>
    </w:p>
    <w:p w:rsidR="00D223DD" w:rsidRPr="00723562" w:rsidRDefault="00D223DD" w:rsidP="0000602F">
      <w:pPr>
        <w:tabs>
          <w:tab w:val="left" w:pos="567"/>
        </w:tabs>
        <w:spacing w:line="360" w:lineRule="auto"/>
        <w:ind w:left="567" w:hanging="567"/>
        <w:jc w:val="both"/>
        <w:rPr>
          <w:lang w:val="es-EC"/>
        </w:rPr>
      </w:pPr>
      <w:r w:rsidRPr="00723562">
        <w:rPr>
          <w:bCs/>
          <w:lang w:val="en-US"/>
        </w:rPr>
        <w:t xml:space="preserve">World Health Organization (1992). The ICD-10 Classification of Mental and Behavioral Disorders. </w:t>
      </w:r>
      <w:r w:rsidRPr="00723562">
        <w:rPr>
          <w:bCs/>
          <w:lang w:val="es-EC"/>
        </w:rPr>
        <w:t>Geneva: World Health Organization.</w:t>
      </w:r>
    </w:p>
    <w:p w:rsidR="005C193C" w:rsidRPr="00723562" w:rsidRDefault="00D223DD" w:rsidP="0000602F">
      <w:pPr>
        <w:tabs>
          <w:tab w:val="left" w:pos="567"/>
        </w:tabs>
        <w:spacing w:line="360" w:lineRule="auto"/>
        <w:ind w:left="567" w:hanging="567"/>
        <w:jc w:val="both"/>
      </w:pPr>
      <w:r w:rsidRPr="00723562">
        <w:rPr>
          <w:lang w:val="es-EC"/>
        </w:rPr>
        <w:t>Zambrano-Sánchez, E., Martínez-Wbaldo, M.C., y Poblano, A. (2010). Frecuencia de factores de riesgo para problemas de aprendizaje en preescolares de bajo nivel socioeconómico en la Ciudad de México. Revista Latinoamericana Enfermagem, 18(5), 07-24.</w:t>
      </w:r>
      <w:r w:rsidR="00157694" w:rsidRPr="00723562">
        <w:t xml:space="preserve"> </w:t>
      </w:r>
    </w:p>
    <w:sectPr w:rsidR="005C193C" w:rsidRPr="00723562" w:rsidSect="004F6DEF">
      <w:footerReference w:type="even" r:id="rId8"/>
      <w:headerReference w:type="first" r:id="rId9"/>
      <w:type w:val="continuous"/>
      <w:pgSz w:w="12242" w:h="15842" w:code="1"/>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7C1" w:rsidRDefault="001E37C1">
      <w:r>
        <w:separator/>
      </w:r>
    </w:p>
  </w:endnote>
  <w:endnote w:type="continuationSeparator" w:id="0">
    <w:p w:rsidR="001E37C1" w:rsidRDefault="001E3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4F5" w:rsidRPr="00D24263" w:rsidRDefault="008734F5" w:rsidP="00BB4AD3">
    <w:pPr>
      <w:pStyle w:val="Piedepgina"/>
      <w:ind w:right="74"/>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7C1" w:rsidRDefault="001E37C1">
      <w:r>
        <w:separator/>
      </w:r>
    </w:p>
  </w:footnote>
  <w:footnote w:type="continuationSeparator" w:id="0">
    <w:p w:rsidR="001E37C1" w:rsidRDefault="001E37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2D9" w:rsidRDefault="007362D9">
    <w:pPr>
      <w:pStyle w:val="Encabezado"/>
      <w:jc w:val="right"/>
    </w:pPr>
    <w:r>
      <w:fldChar w:fldCharType="begin"/>
    </w:r>
    <w:r>
      <w:instrText>PAGE   \* MERGEFORMAT</w:instrText>
    </w:r>
    <w:r>
      <w:fldChar w:fldCharType="separate"/>
    </w:r>
    <w:r w:rsidR="00937958">
      <w:rPr>
        <w:noProof/>
      </w:rPr>
      <w:t>1</w:t>
    </w:r>
    <w:r>
      <w:fldChar w:fldCharType="end"/>
    </w:r>
  </w:p>
  <w:p w:rsidR="005E28DC" w:rsidRDefault="005E28D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74367"/>
    <w:multiLevelType w:val="hybridMultilevel"/>
    <w:tmpl w:val="3346821E"/>
    <w:lvl w:ilvl="0" w:tplc="75B07630">
      <w:start w:val="1"/>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FDE6C84"/>
    <w:multiLevelType w:val="hybridMultilevel"/>
    <w:tmpl w:val="9ABE17E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4BF0763"/>
    <w:multiLevelType w:val="multilevel"/>
    <w:tmpl w:val="FF6A2A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73C0A39"/>
    <w:multiLevelType w:val="hybridMultilevel"/>
    <w:tmpl w:val="A9EAFA2E"/>
    <w:lvl w:ilvl="0" w:tplc="D1D8F8D6">
      <w:start w:val="1"/>
      <w:numFmt w:val="bullet"/>
      <w:lvlText w:val=""/>
      <w:lvlJc w:val="left"/>
      <w:pPr>
        <w:tabs>
          <w:tab w:val="num" w:pos="720"/>
        </w:tabs>
        <w:ind w:left="720" w:hanging="360"/>
      </w:pPr>
      <w:rPr>
        <w:rFonts w:ascii="Symbol" w:hAnsi="Symbol" w:hint="default"/>
        <w:color w:val="auto"/>
        <w:u w:color="008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9EF19D5"/>
    <w:multiLevelType w:val="hybridMultilevel"/>
    <w:tmpl w:val="8D2E86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F025647"/>
    <w:multiLevelType w:val="hybridMultilevel"/>
    <w:tmpl w:val="36FE2B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0B0255C"/>
    <w:multiLevelType w:val="hybridMultilevel"/>
    <w:tmpl w:val="9C4EE2B8"/>
    <w:lvl w:ilvl="0" w:tplc="72128170">
      <w:start w:val="1"/>
      <w:numFmt w:val="decimal"/>
      <w:lvlText w:val="%1."/>
      <w:lvlJc w:val="left"/>
      <w:pPr>
        <w:ind w:left="502" w:hanging="360"/>
      </w:pPr>
      <w:rPr>
        <w:rFonts w:hint="default"/>
        <w:vertAlign w:val="superscript"/>
      </w:rPr>
    </w:lvl>
    <w:lvl w:ilvl="1" w:tplc="300A0019" w:tentative="1">
      <w:start w:val="1"/>
      <w:numFmt w:val="lowerLetter"/>
      <w:lvlText w:val="%2."/>
      <w:lvlJc w:val="left"/>
      <w:pPr>
        <w:ind w:left="1222" w:hanging="360"/>
      </w:pPr>
    </w:lvl>
    <w:lvl w:ilvl="2" w:tplc="300A001B" w:tentative="1">
      <w:start w:val="1"/>
      <w:numFmt w:val="lowerRoman"/>
      <w:lvlText w:val="%3."/>
      <w:lvlJc w:val="right"/>
      <w:pPr>
        <w:ind w:left="1942" w:hanging="180"/>
      </w:pPr>
    </w:lvl>
    <w:lvl w:ilvl="3" w:tplc="300A000F" w:tentative="1">
      <w:start w:val="1"/>
      <w:numFmt w:val="decimal"/>
      <w:lvlText w:val="%4."/>
      <w:lvlJc w:val="left"/>
      <w:pPr>
        <w:ind w:left="2662" w:hanging="360"/>
      </w:pPr>
    </w:lvl>
    <w:lvl w:ilvl="4" w:tplc="300A0019" w:tentative="1">
      <w:start w:val="1"/>
      <w:numFmt w:val="lowerLetter"/>
      <w:lvlText w:val="%5."/>
      <w:lvlJc w:val="left"/>
      <w:pPr>
        <w:ind w:left="3382" w:hanging="360"/>
      </w:pPr>
    </w:lvl>
    <w:lvl w:ilvl="5" w:tplc="300A001B" w:tentative="1">
      <w:start w:val="1"/>
      <w:numFmt w:val="lowerRoman"/>
      <w:lvlText w:val="%6."/>
      <w:lvlJc w:val="right"/>
      <w:pPr>
        <w:ind w:left="4102" w:hanging="180"/>
      </w:pPr>
    </w:lvl>
    <w:lvl w:ilvl="6" w:tplc="300A000F" w:tentative="1">
      <w:start w:val="1"/>
      <w:numFmt w:val="decimal"/>
      <w:lvlText w:val="%7."/>
      <w:lvlJc w:val="left"/>
      <w:pPr>
        <w:ind w:left="4822" w:hanging="360"/>
      </w:pPr>
    </w:lvl>
    <w:lvl w:ilvl="7" w:tplc="300A0019" w:tentative="1">
      <w:start w:val="1"/>
      <w:numFmt w:val="lowerLetter"/>
      <w:lvlText w:val="%8."/>
      <w:lvlJc w:val="left"/>
      <w:pPr>
        <w:ind w:left="5542" w:hanging="360"/>
      </w:pPr>
    </w:lvl>
    <w:lvl w:ilvl="8" w:tplc="300A001B" w:tentative="1">
      <w:start w:val="1"/>
      <w:numFmt w:val="lowerRoman"/>
      <w:lvlText w:val="%9."/>
      <w:lvlJc w:val="right"/>
      <w:pPr>
        <w:ind w:left="6262" w:hanging="180"/>
      </w:pPr>
    </w:lvl>
  </w:abstractNum>
  <w:abstractNum w:abstractNumId="7" w15:restartNumberingAfterBreak="0">
    <w:nsid w:val="2279348B"/>
    <w:multiLevelType w:val="hybridMultilevel"/>
    <w:tmpl w:val="F3F0FB30"/>
    <w:lvl w:ilvl="0" w:tplc="D1D8F8D6">
      <w:start w:val="1"/>
      <w:numFmt w:val="bullet"/>
      <w:lvlText w:val=""/>
      <w:lvlJc w:val="left"/>
      <w:pPr>
        <w:tabs>
          <w:tab w:val="num" w:pos="720"/>
        </w:tabs>
        <w:ind w:left="720" w:hanging="360"/>
      </w:pPr>
      <w:rPr>
        <w:rFonts w:ascii="Symbol" w:hAnsi="Symbol" w:hint="default"/>
        <w:color w:val="auto"/>
        <w:u w:color="008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29B41C7"/>
    <w:multiLevelType w:val="hybridMultilevel"/>
    <w:tmpl w:val="C8A62996"/>
    <w:lvl w:ilvl="0" w:tplc="CCDCC210">
      <w:start w:val="1"/>
      <w:numFmt w:val="decimal"/>
      <w:lvlText w:val="%1."/>
      <w:lvlJc w:val="left"/>
      <w:pPr>
        <w:ind w:left="720" w:hanging="360"/>
      </w:pPr>
      <w:rPr>
        <w:rFonts w:hint="default"/>
        <w:b w:val="0"/>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4017683"/>
    <w:multiLevelType w:val="hybridMultilevel"/>
    <w:tmpl w:val="B6380D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4F7576B"/>
    <w:multiLevelType w:val="hybridMultilevel"/>
    <w:tmpl w:val="D9481DD0"/>
    <w:lvl w:ilvl="0" w:tplc="4C3AA7E0">
      <w:start w:val="19"/>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A0A773B"/>
    <w:multiLevelType w:val="hybridMultilevel"/>
    <w:tmpl w:val="AB0A46FE"/>
    <w:lvl w:ilvl="0" w:tplc="4C3AA7E0">
      <w:start w:val="19"/>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21748A4"/>
    <w:multiLevelType w:val="hybridMultilevel"/>
    <w:tmpl w:val="BD504F8C"/>
    <w:lvl w:ilvl="0" w:tplc="0C0A000F">
      <w:start w:val="1"/>
      <w:numFmt w:val="decimal"/>
      <w:lvlText w:val="%1."/>
      <w:lvlJc w:val="left"/>
      <w:pPr>
        <w:ind w:left="720" w:hanging="360"/>
      </w:pPr>
      <w:rPr>
        <w:rFonts w:hint="default"/>
      </w:rPr>
    </w:lvl>
    <w:lvl w:ilvl="1" w:tplc="94E466A4">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A7602C0"/>
    <w:multiLevelType w:val="hybridMultilevel"/>
    <w:tmpl w:val="7C6A73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7DD2241"/>
    <w:multiLevelType w:val="hybridMultilevel"/>
    <w:tmpl w:val="9488C7D6"/>
    <w:lvl w:ilvl="0" w:tplc="FF4821A4">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5" w15:restartNumberingAfterBreak="0">
    <w:nsid w:val="4A9741F0"/>
    <w:multiLevelType w:val="hybridMultilevel"/>
    <w:tmpl w:val="BA7A5A40"/>
    <w:lvl w:ilvl="0" w:tplc="75B07630">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CCE321E"/>
    <w:multiLevelType w:val="hybridMultilevel"/>
    <w:tmpl w:val="C8FE3B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F0B226C"/>
    <w:multiLevelType w:val="hybridMultilevel"/>
    <w:tmpl w:val="A9D4CC2C"/>
    <w:lvl w:ilvl="0" w:tplc="D1D8F8D6">
      <w:start w:val="1"/>
      <w:numFmt w:val="bullet"/>
      <w:lvlText w:val=""/>
      <w:lvlJc w:val="left"/>
      <w:pPr>
        <w:tabs>
          <w:tab w:val="num" w:pos="720"/>
        </w:tabs>
        <w:ind w:left="720" w:hanging="360"/>
      </w:pPr>
      <w:rPr>
        <w:rFonts w:ascii="Symbol" w:hAnsi="Symbol" w:hint="default"/>
        <w:color w:val="auto"/>
        <w:u w:color="008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2FE2902"/>
    <w:multiLevelType w:val="hybridMultilevel"/>
    <w:tmpl w:val="B9E2C224"/>
    <w:lvl w:ilvl="0" w:tplc="75B07630">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9DE643B"/>
    <w:multiLevelType w:val="hybridMultilevel"/>
    <w:tmpl w:val="0B0E60A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5E134409"/>
    <w:multiLevelType w:val="hybridMultilevel"/>
    <w:tmpl w:val="9F7CE8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588675F"/>
    <w:multiLevelType w:val="multilevel"/>
    <w:tmpl w:val="C590D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EF5363"/>
    <w:multiLevelType w:val="hybridMultilevel"/>
    <w:tmpl w:val="18DE4D0E"/>
    <w:lvl w:ilvl="0" w:tplc="F0184C36">
      <w:start w:val="1"/>
      <w:numFmt w:val="decimal"/>
      <w:lvlText w:val="%1."/>
      <w:lvlJc w:val="left"/>
      <w:pPr>
        <w:tabs>
          <w:tab w:val="num" w:pos="2340"/>
        </w:tabs>
        <w:ind w:left="2340" w:hanging="360"/>
      </w:pPr>
      <w:rPr>
        <w:rFonts w:hint="default"/>
      </w:rPr>
    </w:lvl>
    <w:lvl w:ilvl="1" w:tplc="0C0A0019" w:tentative="1">
      <w:start w:val="1"/>
      <w:numFmt w:val="lowerLetter"/>
      <w:lvlText w:val="%2."/>
      <w:lvlJc w:val="left"/>
      <w:pPr>
        <w:tabs>
          <w:tab w:val="num" w:pos="3060"/>
        </w:tabs>
        <w:ind w:left="3060" w:hanging="360"/>
      </w:pPr>
    </w:lvl>
    <w:lvl w:ilvl="2" w:tplc="0C0A001B" w:tentative="1">
      <w:start w:val="1"/>
      <w:numFmt w:val="lowerRoman"/>
      <w:lvlText w:val="%3."/>
      <w:lvlJc w:val="right"/>
      <w:pPr>
        <w:tabs>
          <w:tab w:val="num" w:pos="3780"/>
        </w:tabs>
        <w:ind w:left="3780" w:hanging="180"/>
      </w:pPr>
    </w:lvl>
    <w:lvl w:ilvl="3" w:tplc="0C0A000F" w:tentative="1">
      <w:start w:val="1"/>
      <w:numFmt w:val="decimal"/>
      <w:lvlText w:val="%4."/>
      <w:lvlJc w:val="left"/>
      <w:pPr>
        <w:tabs>
          <w:tab w:val="num" w:pos="4500"/>
        </w:tabs>
        <w:ind w:left="4500" w:hanging="360"/>
      </w:pPr>
    </w:lvl>
    <w:lvl w:ilvl="4" w:tplc="0C0A0019" w:tentative="1">
      <w:start w:val="1"/>
      <w:numFmt w:val="lowerLetter"/>
      <w:lvlText w:val="%5."/>
      <w:lvlJc w:val="left"/>
      <w:pPr>
        <w:tabs>
          <w:tab w:val="num" w:pos="5220"/>
        </w:tabs>
        <w:ind w:left="5220" w:hanging="360"/>
      </w:pPr>
    </w:lvl>
    <w:lvl w:ilvl="5" w:tplc="0C0A001B" w:tentative="1">
      <w:start w:val="1"/>
      <w:numFmt w:val="lowerRoman"/>
      <w:lvlText w:val="%6."/>
      <w:lvlJc w:val="right"/>
      <w:pPr>
        <w:tabs>
          <w:tab w:val="num" w:pos="5940"/>
        </w:tabs>
        <w:ind w:left="5940" w:hanging="180"/>
      </w:pPr>
    </w:lvl>
    <w:lvl w:ilvl="6" w:tplc="0C0A000F" w:tentative="1">
      <w:start w:val="1"/>
      <w:numFmt w:val="decimal"/>
      <w:lvlText w:val="%7."/>
      <w:lvlJc w:val="left"/>
      <w:pPr>
        <w:tabs>
          <w:tab w:val="num" w:pos="6660"/>
        </w:tabs>
        <w:ind w:left="6660" w:hanging="360"/>
      </w:pPr>
    </w:lvl>
    <w:lvl w:ilvl="7" w:tplc="0C0A0019" w:tentative="1">
      <w:start w:val="1"/>
      <w:numFmt w:val="lowerLetter"/>
      <w:lvlText w:val="%8."/>
      <w:lvlJc w:val="left"/>
      <w:pPr>
        <w:tabs>
          <w:tab w:val="num" w:pos="7380"/>
        </w:tabs>
        <w:ind w:left="7380" w:hanging="360"/>
      </w:pPr>
    </w:lvl>
    <w:lvl w:ilvl="8" w:tplc="0C0A001B" w:tentative="1">
      <w:start w:val="1"/>
      <w:numFmt w:val="lowerRoman"/>
      <w:lvlText w:val="%9."/>
      <w:lvlJc w:val="right"/>
      <w:pPr>
        <w:tabs>
          <w:tab w:val="num" w:pos="8100"/>
        </w:tabs>
        <w:ind w:left="8100" w:hanging="180"/>
      </w:pPr>
    </w:lvl>
  </w:abstractNum>
  <w:abstractNum w:abstractNumId="23" w15:restartNumberingAfterBreak="0">
    <w:nsid w:val="6791048B"/>
    <w:multiLevelType w:val="hybridMultilevel"/>
    <w:tmpl w:val="0B04E8A6"/>
    <w:lvl w:ilvl="0" w:tplc="A640621A">
      <w:start w:val="1"/>
      <w:numFmt w:val="upperRoman"/>
      <w:lvlText w:val="%1."/>
      <w:lvlJc w:val="left"/>
      <w:pPr>
        <w:ind w:left="720" w:hanging="720"/>
      </w:pPr>
      <w:rPr>
        <w:rFonts w:ascii="Arial" w:eastAsia="Times New Roman" w:hAnsi="Arial" w:cs="Arial"/>
        <w:b w:val="0"/>
        <w:i w:val="0"/>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40F223B"/>
    <w:multiLevelType w:val="hybridMultilevel"/>
    <w:tmpl w:val="B9880B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D0164EF"/>
    <w:multiLevelType w:val="hybridMultilevel"/>
    <w:tmpl w:val="F3468A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E764A99"/>
    <w:multiLevelType w:val="hybridMultilevel"/>
    <w:tmpl w:val="345AAF88"/>
    <w:lvl w:ilvl="0" w:tplc="1690EA5C">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7"/>
  </w:num>
  <w:num w:numId="3">
    <w:abstractNumId w:val="3"/>
  </w:num>
  <w:num w:numId="4">
    <w:abstractNumId w:val="22"/>
  </w:num>
  <w:num w:numId="5">
    <w:abstractNumId w:val="21"/>
  </w:num>
  <w:num w:numId="6">
    <w:abstractNumId w:val="26"/>
  </w:num>
  <w:num w:numId="7">
    <w:abstractNumId w:val="0"/>
  </w:num>
  <w:num w:numId="8">
    <w:abstractNumId w:val="18"/>
  </w:num>
  <w:num w:numId="9">
    <w:abstractNumId w:val="15"/>
  </w:num>
  <w:num w:numId="10">
    <w:abstractNumId w:val="9"/>
  </w:num>
  <w:num w:numId="11">
    <w:abstractNumId w:val="14"/>
  </w:num>
  <w:num w:numId="12">
    <w:abstractNumId w:val="16"/>
  </w:num>
  <w:num w:numId="13">
    <w:abstractNumId w:val="25"/>
  </w:num>
  <w:num w:numId="14">
    <w:abstractNumId w:val="20"/>
  </w:num>
  <w:num w:numId="15">
    <w:abstractNumId w:val="13"/>
  </w:num>
  <w:num w:numId="16">
    <w:abstractNumId w:val="24"/>
  </w:num>
  <w:num w:numId="17">
    <w:abstractNumId w:val="5"/>
  </w:num>
  <w:num w:numId="18">
    <w:abstractNumId w:val="11"/>
  </w:num>
  <w:num w:numId="19">
    <w:abstractNumId w:val="10"/>
  </w:num>
  <w:num w:numId="20">
    <w:abstractNumId w:val="12"/>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4"/>
  </w:num>
  <w:num w:numId="26">
    <w:abstractNumId w:val="23"/>
  </w:num>
  <w:num w:numId="27">
    <w:abstractNumId w:val="8"/>
  </w:num>
  <w:num w:numId="28">
    <w:abstractNumId w:val="6"/>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09"/>
  <w:hyphenationZone w:val="425"/>
  <w:evenAndOddHeaders/>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632D"/>
    <w:rsid w:val="00000A87"/>
    <w:rsid w:val="00002105"/>
    <w:rsid w:val="00002F53"/>
    <w:rsid w:val="00003605"/>
    <w:rsid w:val="000037BA"/>
    <w:rsid w:val="00003922"/>
    <w:rsid w:val="00003AD2"/>
    <w:rsid w:val="0000461F"/>
    <w:rsid w:val="00005052"/>
    <w:rsid w:val="00005063"/>
    <w:rsid w:val="0000602F"/>
    <w:rsid w:val="0000667C"/>
    <w:rsid w:val="000100E6"/>
    <w:rsid w:val="0001024D"/>
    <w:rsid w:val="00010596"/>
    <w:rsid w:val="00011EA0"/>
    <w:rsid w:val="00011F63"/>
    <w:rsid w:val="00012925"/>
    <w:rsid w:val="00012CD6"/>
    <w:rsid w:val="00013E63"/>
    <w:rsid w:val="00014C68"/>
    <w:rsid w:val="00015D56"/>
    <w:rsid w:val="00016914"/>
    <w:rsid w:val="00017564"/>
    <w:rsid w:val="0002504C"/>
    <w:rsid w:val="00026402"/>
    <w:rsid w:val="00031D8D"/>
    <w:rsid w:val="00032185"/>
    <w:rsid w:val="000337D1"/>
    <w:rsid w:val="000341CB"/>
    <w:rsid w:val="00035281"/>
    <w:rsid w:val="00035762"/>
    <w:rsid w:val="0003627A"/>
    <w:rsid w:val="00036297"/>
    <w:rsid w:val="000374DD"/>
    <w:rsid w:val="000375FF"/>
    <w:rsid w:val="000404A8"/>
    <w:rsid w:val="0004109C"/>
    <w:rsid w:val="000415D7"/>
    <w:rsid w:val="00041AD9"/>
    <w:rsid w:val="00041FDD"/>
    <w:rsid w:val="000433F9"/>
    <w:rsid w:val="00043E1C"/>
    <w:rsid w:val="00044613"/>
    <w:rsid w:val="000446C5"/>
    <w:rsid w:val="00046471"/>
    <w:rsid w:val="00046E39"/>
    <w:rsid w:val="00047A78"/>
    <w:rsid w:val="00050144"/>
    <w:rsid w:val="00050825"/>
    <w:rsid w:val="00050AC1"/>
    <w:rsid w:val="00051270"/>
    <w:rsid w:val="0005148E"/>
    <w:rsid w:val="00051CDB"/>
    <w:rsid w:val="00052ABF"/>
    <w:rsid w:val="00052AFA"/>
    <w:rsid w:val="00052D5A"/>
    <w:rsid w:val="00053EA3"/>
    <w:rsid w:val="00056AA7"/>
    <w:rsid w:val="00057198"/>
    <w:rsid w:val="00057432"/>
    <w:rsid w:val="00057E9F"/>
    <w:rsid w:val="000612FB"/>
    <w:rsid w:val="000614E1"/>
    <w:rsid w:val="00062951"/>
    <w:rsid w:val="00062AE3"/>
    <w:rsid w:val="00062EC5"/>
    <w:rsid w:val="000636DC"/>
    <w:rsid w:val="00063A6F"/>
    <w:rsid w:val="00065436"/>
    <w:rsid w:val="000657CC"/>
    <w:rsid w:val="00066DA7"/>
    <w:rsid w:val="000674CD"/>
    <w:rsid w:val="0006793C"/>
    <w:rsid w:val="00070577"/>
    <w:rsid w:val="0007150D"/>
    <w:rsid w:val="00071DE7"/>
    <w:rsid w:val="000728EA"/>
    <w:rsid w:val="00072A5C"/>
    <w:rsid w:val="00073796"/>
    <w:rsid w:val="00073A1C"/>
    <w:rsid w:val="00074588"/>
    <w:rsid w:val="00074BB8"/>
    <w:rsid w:val="00075B7A"/>
    <w:rsid w:val="00075EA6"/>
    <w:rsid w:val="00076693"/>
    <w:rsid w:val="00077952"/>
    <w:rsid w:val="000804BD"/>
    <w:rsid w:val="000811AC"/>
    <w:rsid w:val="00081A92"/>
    <w:rsid w:val="00083D0C"/>
    <w:rsid w:val="00083E87"/>
    <w:rsid w:val="00084748"/>
    <w:rsid w:val="000870CC"/>
    <w:rsid w:val="00090193"/>
    <w:rsid w:val="000906EE"/>
    <w:rsid w:val="000908A2"/>
    <w:rsid w:val="00090BE0"/>
    <w:rsid w:val="00090F5F"/>
    <w:rsid w:val="00093060"/>
    <w:rsid w:val="00094527"/>
    <w:rsid w:val="00095725"/>
    <w:rsid w:val="0009727C"/>
    <w:rsid w:val="00097CB6"/>
    <w:rsid w:val="00097F90"/>
    <w:rsid w:val="000A0BBA"/>
    <w:rsid w:val="000A20FB"/>
    <w:rsid w:val="000A2264"/>
    <w:rsid w:val="000A3D8E"/>
    <w:rsid w:val="000A4027"/>
    <w:rsid w:val="000A4E63"/>
    <w:rsid w:val="000A5AD3"/>
    <w:rsid w:val="000A670C"/>
    <w:rsid w:val="000A6773"/>
    <w:rsid w:val="000A703C"/>
    <w:rsid w:val="000A756A"/>
    <w:rsid w:val="000A7BC9"/>
    <w:rsid w:val="000B0213"/>
    <w:rsid w:val="000B08F8"/>
    <w:rsid w:val="000B0A11"/>
    <w:rsid w:val="000B19E6"/>
    <w:rsid w:val="000B1C7D"/>
    <w:rsid w:val="000B20B8"/>
    <w:rsid w:val="000B4F25"/>
    <w:rsid w:val="000B5643"/>
    <w:rsid w:val="000B7274"/>
    <w:rsid w:val="000B7EA4"/>
    <w:rsid w:val="000B7EBC"/>
    <w:rsid w:val="000C08E5"/>
    <w:rsid w:val="000C0AD5"/>
    <w:rsid w:val="000C0EBC"/>
    <w:rsid w:val="000C1A48"/>
    <w:rsid w:val="000C2477"/>
    <w:rsid w:val="000C279F"/>
    <w:rsid w:val="000C2B45"/>
    <w:rsid w:val="000C2D6D"/>
    <w:rsid w:val="000C3668"/>
    <w:rsid w:val="000C3A80"/>
    <w:rsid w:val="000C3EFE"/>
    <w:rsid w:val="000C4452"/>
    <w:rsid w:val="000C5B78"/>
    <w:rsid w:val="000C5DEB"/>
    <w:rsid w:val="000C6E61"/>
    <w:rsid w:val="000C7C43"/>
    <w:rsid w:val="000C7FB6"/>
    <w:rsid w:val="000D0907"/>
    <w:rsid w:val="000D1763"/>
    <w:rsid w:val="000D240D"/>
    <w:rsid w:val="000D251E"/>
    <w:rsid w:val="000D26AB"/>
    <w:rsid w:val="000D2A0F"/>
    <w:rsid w:val="000D2AF8"/>
    <w:rsid w:val="000D3BA1"/>
    <w:rsid w:val="000D5566"/>
    <w:rsid w:val="000D5612"/>
    <w:rsid w:val="000D586F"/>
    <w:rsid w:val="000D5F57"/>
    <w:rsid w:val="000D6B8E"/>
    <w:rsid w:val="000D6F24"/>
    <w:rsid w:val="000D7C0B"/>
    <w:rsid w:val="000D7CC7"/>
    <w:rsid w:val="000E082C"/>
    <w:rsid w:val="000E1415"/>
    <w:rsid w:val="000E16DC"/>
    <w:rsid w:val="000E1B98"/>
    <w:rsid w:val="000E256F"/>
    <w:rsid w:val="000E387C"/>
    <w:rsid w:val="000E4490"/>
    <w:rsid w:val="000E6F19"/>
    <w:rsid w:val="000E778D"/>
    <w:rsid w:val="000E79BB"/>
    <w:rsid w:val="000F222C"/>
    <w:rsid w:val="000F2235"/>
    <w:rsid w:val="000F2D62"/>
    <w:rsid w:val="000F2E3E"/>
    <w:rsid w:val="000F4EB5"/>
    <w:rsid w:val="000F525F"/>
    <w:rsid w:val="000F5792"/>
    <w:rsid w:val="000F6B1D"/>
    <w:rsid w:val="000F6C7C"/>
    <w:rsid w:val="000F6D7C"/>
    <w:rsid w:val="000F6EEB"/>
    <w:rsid w:val="000F714A"/>
    <w:rsid w:val="000F7606"/>
    <w:rsid w:val="00100229"/>
    <w:rsid w:val="0010112C"/>
    <w:rsid w:val="00104176"/>
    <w:rsid w:val="001057C7"/>
    <w:rsid w:val="00105FB5"/>
    <w:rsid w:val="00106C4C"/>
    <w:rsid w:val="001108CC"/>
    <w:rsid w:val="00110A1B"/>
    <w:rsid w:val="001119D5"/>
    <w:rsid w:val="001143D8"/>
    <w:rsid w:val="00114724"/>
    <w:rsid w:val="00115411"/>
    <w:rsid w:val="0011570A"/>
    <w:rsid w:val="001164D6"/>
    <w:rsid w:val="0011689B"/>
    <w:rsid w:val="00117421"/>
    <w:rsid w:val="001179DA"/>
    <w:rsid w:val="00117A7C"/>
    <w:rsid w:val="00117C52"/>
    <w:rsid w:val="001204E7"/>
    <w:rsid w:val="001207BB"/>
    <w:rsid w:val="00122B21"/>
    <w:rsid w:val="001231A9"/>
    <w:rsid w:val="00123BF0"/>
    <w:rsid w:val="00123E67"/>
    <w:rsid w:val="00124AA1"/>
    <w:rsid w:val="00124C5F"/>
    <w:rsid w:val="001253B7"/>
    <w:rsid w:val="0012576F"/>
    <w:rsid w:val="00125C0E"/>
    <w:rsid w:val="0012787B"/>
    <w:rsid w:val="0013049A"/>
    <w:rsid w:val="00130E85"/>
    <w:rsid w:val="00131C07"/>
    <w:rsid w:val="00131FB7"/>
    <w:rsid w:val="00132579"/>
    <w:rsid w:val="001335F9"/>
    <w:rsid w:val="00134389"/>
    <w:rsid w:val="00134E19"/>
    <w:rsid w:val="001351E6"/>
    <w:rsid w:val="001353A3"/>
    <w:rsid w:val="00135E62"/>
    <w:rsid w:val="00136053"/>
    <w:rsid w:val="0013633C"/>
    <w:rsid w:val="00136B4D"/>
    <w:rsid w:val="00140660"/>
    <w:rsid w:val="001406C8"/>
    <w:rsid w:val="00140B12"/>
    <w:rsid w:val="00141579"/>
    <w:rsid w:val="00142C45"/>
    <w:rsid w:val="001431D8"/>
    <w:rsid w:val="00144BA0"/>
    <w:rsid w:val="001463D9"/>
    <w:rsid w:val="00146A3C"/>
    <w:rsid w:val="00147D11"/>
    <w:rsid w:val="00147D72"/>
    <w:rsid w:val="00147FCB"/>
    <w:rsid w:val="0015097F"/>
    <w:rsid w:val="00150BF7"/>
    <w:rsid w:val="001510F1"/>
    <w:rsid w:val="00151B62"/>
    <w:rsid w:val="00152023"/>
    <w:rsid w:val="0015222F"/>
    <w:rsid w:val="00152D1F"/>
    <w:rsid w:val="001530F1"/>
    <w:rsid w:val="0015379D"/>
    <w:rsid w:val="00153FEE"/>
    <w:rsid w:val="00154885"/>
    <w:rsid w:val="001550E8"/>
    <w:rsid w:val="00155598"/>
    <w:rsid w:val="001559D6"/>
    <w:rsid w:val="00155D27"/>
    <w:rsid w:val="00157694"/>
    <w:rsid w:val="00160612"/>
    <w:rsid w:val="00160A2F"/>
    <w:rsid w:val="001615F0"/>
    <w:rsid w:val="00161F50"/>
    <w:rsid w:val="001626EA"/>
    <w:rsid w:val="00162E5D"/>
    <w:rsid w:val="00163213"/>
    <w:rsid w:val="00163556"/>
    <w:rsid w:val="001637F2"/>
    <w:rsid w:val="001648A4"/>
    <w:rsid w:val="001703FB"/>
    <w:rsid w:val="00171016"/>
    <w:rsid w:val="001713EF"/>
    <w:rsid w:val="00171D5F"/>
    <w:rsid w:val="00171E72"/>
    <w:rsid w:val="00172356"/>
    <w:rsid w:val="00172A32"/>
    <w:rsid w:val="00174676"/>
    <w:rsid w:val="001750C9"/>
    <w:rsid w:val="00176990"/>
    <w:rsid w:val="00176D60"/>
    <w:rsid w:val="001773A2"/>
    <w:rsid w:val="001804CD"/>
    <w:rsid w:val="00182411"/>
    <w:rsid w:val="00182725"/>
    <w:rsid w:val="0018334A"/>
    <w:rsid w:val="001853A7"/>
    <w:rsid w:val="00186113"/>
    <w:rsid w:val="0018632B"/>
    <w:rsid w:val="00186A8B"/>
    <w:rsid w:val="00186C69"/>
    <w:rsid w:val="00190C6A"/>
    <w:rsid w:val="0019135A"/>
    <w:rsid w:val="00191782"/>
    <w:rsid w:val="00192ED9"/>
    <w:rsid w:val="00192FF4"/>
    <w:rsid w:val="00193B51"/>
    <w:rsid w:val="00194801"/>
    <w:rsid w:val="00195249"/>
    <w:rsid w:val="00195684"/>
    <w:rsid w:val="001957B2"/>
    <w:rsid w:val="0019614B"/>
    <w:rsid w:val="00196404"/>
    <w:rsid w:val="00196B16"/>
    <w:rsid w:val="001A062F"/>
    <w:rsid w:val="001A1208"/>
    <w:rsid w:val="001A12E5"/>
    <w:rsid w:val="001A1A91"/>
    <w:rsid w:val="001A245D"/>
    <w:rsid w:val="001A41E7"/>
    <w:rsid w:val="001A54F0"/>
    <w:rsid w:val="001A6791"/>
    <w:rsid w:val="001A768D"/>
    <w:rsid w:val="001A7D39"/>
    <w:rsid w:val="001B0925"/>
    <w:rsid w:val="001B3509"/>
    <w:rsid w:val="001B3891"/>
    <w:rsid w:val="001B3F29"/>
    <w:rsid w:val="001B4AC4"/>
    <w:rsid w:val="001B4D6F"/>
    <w:rsid w:val="001B56B0"/>
    <w:rsid w:val="001C0D08"/>
    <w:rsid w:val="001C12EB"/>
    <w:rsid w:val="001C1508"/>
    <w:rsid w:val="001C27B1"/>
    <w:rsid w:val="001C3432"/>
    <w:rsid w:val="001C3446"/>
    <w:rsid w:val="001C36E1"/>
    <w:rsid w:val="001C39B1"/>
    <w:rsid w:val="001C4116"/>
    <w:rsid w:val="001C446B"/>
    <w:rsid w:val="001C4EC5"/>
    <w:rsid w:val="001C5CB0"/>
    <w:rsid w:val="001D0270"/>
    <w:rsid w:val="001D06DC"/>
    <w:rsid w:val="001D08A3"/>
    <w:rsid w:val="001D1530"/>
    <w:rsid w:val="001D1E9D"/>
    <w:rsid w:val="001D2FF2"/>
    <w:rsid w:val="001D3704"/>
    <w:rsid w:val="001D44C4"/>
    <w:rsid w:val="001D77BD"/>
    <w:rsid w:val="001D7DD1"/>
    <w:rsid w:val="001E0184"/>
    <w:rsid w:val="001E0888"/>
    <w:rsid w:val="001E0C16"/>
    <w:rsid w:val="001E13B2"/>
    <w:rsid w:val="001E1DA9"/>
    <w:rsid w:val="001E2B7F"/>
    <w:rsid w:val="001E2E87"/>
    <w:rsid w:val="001E35B6"/>
    <w:rsid w:val="001E37C1"/>
    <w:rsid w:val="001E6689"/>
    <w:rsid w:val="001E7461"/>
    <w:rsid w:val="001E7F10"/>
    <w:rsid w:val="001E7FBD"/>
    <w:rsid w:val="001F2CB8"/>
    <w:rsid w:val="001F35ED"/>
    <w:rsid w:val="001F3F7D"/>
    <w:rsid w:val="001F4456"/>
    <w:rsid w:val="001F493B"/>
    <w:rsid w:val="001F4A1B"/>
    <w:rsid w:val="001F4CC4"/>
    <w:rsid w:val="001F761E"/>
    <w:rsid w:val="001F7A59"/>
    <w:rsid w:val="001F7FD9"/>
    <w:rsid w:val="00200BFA"/>
    <w:rsid w:val="002067C5"/>
    <w:rsid w:val="0020680F"/>
    <w:rsid w:val="00207A2B"/>
    <w:rsid w:val="00207F32"/>
    <w:rsid w:val="00210341"/>
    <w:rsid w:val="002109AF"/>
    <w:rsid w:val="00211489"/>
    <w:rsid w:val="002125A3"/>
    <w:rsid w:val="00212621"/>
    <w:rsid w:val="00213104"/>
    <w:rsid w:val="00213459"/>
    <w:rsid w:val="002136B1"/>
    <w:rsid w:val="00213E86"/>
    <w:rsid w:val="00214318"/>
    <w:rsid w:val="002144EE"/>
    <w:rsid w:val="00214647"/>
    <w:rsid w:val="00214905"/>
    <w:rsid w:val="002168EC"/>
    <w:rsid w:val="00216CE5"/>
    <w:rsid w:val="0022062B"/>
    <w:rsid w:val="00220966"/>
    <w:rsid w:val="002212B6"/>
    <w:rsid w:val="00221A3F"/>
    <w:rsid w:val="00222610"/>
    <w:rsid w:val="00222F84"/>
    <w:rsid w:val="0022339D"/>
    <w:rsid w:val="00224103"/>
    <w:rsid w:val="00225423"/>
    <w:rsid w:val="0022586A"/>
    <w:rsid w:val="00225991"/>
    <w:rsid w:val="0022653E"/>
    <w:rsid w:val="002267F2"/>
    <w:rsid w:val="002279CD"/>
    <w:rsid w:val="00227A32"/>
    <w:rsid w:val="0023028F"/>
    <w:rsid w:val="002302CF"/>
    <w:rsid w:val="002319EC"/>
    <w:rsid w:val="0023267A"/>
    <w:rsid w:val="002326EC"/>
    <w:rsid w:val="002335A6"/>
    <w:rsid w:val="00233C62"/>
    <w:rsid w:val="00234018"/>
    <w:rsid w:val="0023471A"/>
    <w:rsid w:val="00234745"/>
    <w:rsid w:val="002350D4"/>
    <w:rsid w:val="002361FD"/>
    <w:rsid w:val="00236DAF"/>
    <w:rsid w:val="00237732"/>
    <w:rsid w:val="00237EED"/>
    <w:rsid w:val="00241598"/>
    <w:rsid w:val="00241DB8"/>
    <w:rsid w:val="0024296E"/>
    <w:rsid w:val="002447CA"/>
    <w:rsid w:val="00244DAF"/>
    <w:rsid w:val="00247195"/>
    <w:rsid w:val="00247D7C"/>
    <w:rsid w:val="00250470"/>
    <w:rsid w:val="00250D06"/>
    <w:rsid w:val="00251381"/>
    <w:rsid w:val="00251A70"/>
    <w:rsid w:val="00251D4A"/>
    <w:rsid w:val="002528EB"/>
    <w:rsid w:val="002538CC"/>
    <w:rsid w:val="002545BF"/>
    <w:rsid w:val="00255537"/>
    <w:rsid w:val="0025745C"/>
    <w:rsid w:val="002577DD"/>
    <w:rsid w:val="002606AC"/>
    <w:rsid w:val="002608FA"/>
    <w:rsid w:val="00262FDC"/>
    <w:rsid w:val="002646F0"/>
    <w:rsid w:val="00264977"/>
    <w:rsid w:val="00266C12"/>
    <w:rsid w:val="002677FC"/>
    <w:rsid w:val="002703B4"/>
    <w:rsid w:val="00270633"/>
    <w:rsid w:val="00271458"/>
    <w:rsid w:val="002715BA"/>
    <w:rsid w:val="00271CC7"/>
    <w:rsid w:val="00271D15"/>
    <w:rsid w:val="00271F6C"/>
    <w:rsid w:val="0027341B"/>
    <w:rsid w:val="00274D53"/>
    <w:rsid w:val="002756EC"/>
    <w:rsid w:val="002757D5"/>
    <w:rsid w:val="00275BC9"/>
    <w:rsid w:val="00275E3B"/>
    <w:rsid w:val="00276C02"/>
    <w:rsid w:val="002776DE"/>
    <w:rsid w:val="0028159C"/>
    <w:rsid w:val="00281DBF"/>
    <w:rsid w:val="00283EA0"/>
    <w:rsid w:val="00284A33"/>
    <w:rsid w:val="00284EA8"/>
    <w:rsid w:val="002858D1"/>
    <w:rsid w:val="0028756C"/>
    <w:rsid w:val="00287F1F"/>
    <w:rsid w:val="00290A7D"/>
    <w:rsid w:val="00291E4A"/>
    <w:rsid w:val="00293D75"/>
    <w:rsid w:val="002947DE"/>
    <w:rsid w:val="002960DF"/>
    <w:rsid w:val="00297ED2"/>
    <w:rsid w:val="002A04FC"/>
    <w:rsid w:val="002A073A"/>
    <w:rsid w:val="002A19EE"/>
    <w:rsid w:val="002A1DD6"/>
    <w:rsid w:val="002A28D6"/>
    <w:rsid w:val="002A45E8"/>
    <w:rsid w:val="002A5172"/>
    <w:rsid w:val="002A58AC"/>
    <w:rsid w:val="002A7334"/>
    <w:rsid w:val="002B0A38"/>
    <w:rsid w:val="002B0A58"/>
    <w:rsid w:val="002B0D76"/>
    <w:rsid w:val="002B19FE"/>
    <w:rsid w:val="002B1C63"/>
    <w:rsid w:val="002B21A9"/>
    <w:rsid w:val="002B23BB"/>
    <w:rsid w:val="002B2C19"/>
    <w:rsid w:val="002B34B3"/>
    <w:rsid w:val="002B3CE2"/>
    <w:rsid w:val="002B3D7A"/>
    <w:rsid w:val="002B5C0A"/>
    <w:rsid w:val="002B5DF2"/>
    <w:rsid w:val="002B5E2E"/>
    <w:rsid w:val="002B5F5B"/>
    <w:rsid w:val="002B6172"/>
    <w:rsid w:val="002B66A0"/>
    <w:rsid w:val="002B6C74"/>
    <w:rsid w:val="002B797E"/>
    <w:rsid w:val="002C1C47"/>
    <w:rsid w:val="002C21CA"/>
    <w:rsid w:val="002C24F4"/>
    <w:rsid w:val="002C5A6F"/>
    <w:rsid w:val="002C641F"/>
    <w:rsid w:val="002C67A9"/>
    <w:rsid w:val="002C6A12"/>
    <w:rsid w:val="002C6EE0"/>
    <w:rsid w:val="002C7A6E"/>
    <w:rsid w:val="002D0306"/>
    <w:rsid w:val="002D03B5"/>
    <w:rsid w:val="002D0695"/>
    <w:rsid w:val="002D07D0"/>
    <w:rsid w:val="002D1F8E"/>
    <w:rsid w:val="002D248B"/>
    <w:rsid w:val="002D2F22"/>
    <w:rsid w:val="002D33A2"/>
    <w:rsid w:val="002D43AF"/>
    <w:rsid w:val="002D45F1"/>
    <w:rsid w:val="002D57ED"/>
    <w:rsid w:val="002D68F3"/>
    <w:rsid w:val="002D6ACA"/>
    <w:rsid w:val="002D6ADA"/>
    <w:rsid w:val="002D6D0C"/>
    <w:rsid w:val="002D7D02"/>
    <w:rsid w:val="002E0419"/>
    <w:rsid w:val="002E041F"/>
    <w:rsid w:val="002E12FE"/>
    <w:rsid w:val="002E1517"/>
    <w:rsid w:val="002E19F5"/>
    <w:rsid w:val="002E1BD2"/>
    <w:rsid w:val="002E3C7D"/>
    <w:rsid w:val="002E4A28"/>
    <w:rsid w:val="002E5423"/>
    <w:rsid w:val="002E558D"/>
    <w:rsid w:val="002E59DD"/>
    <w:rsid w:val="002E6A52"/>
    <w:rsid w:val="002E72AC"/>
    <w:rsid w:val="002F0203"/>
    <w:rsid w:val="002F0507"/>
    <w:rsid w:val="002F10E7"/>
    <w:rsid w:val="002F1363"/>
    <w:rsid w:val="002F18DE"/>
    <w:rsid w:val="002F2635"/>
    <w:rsid w:val="002F2902"/>
    <w:rsid w:val="002F3411"/>
    <w:rsid w:val="002F3565"/>
    <w:rsid w:val="002F490E"/>
    <w:rsid w:val="002F60BA"/>
    <w:rsid w:val="002F74C3"/>
    <w:rsid w:val="002F787A"/>
    <w:rsid w:val="002F7A0D"/>
    <w:rsid w:val="002F7BBC"/>
    <w:rsid w:val="002F7D9B"/>
    <w:rsid w:val="0030202C"/>
    <w:rsid w:val="003037BE"/>
    <w:rsid w:val="00303A75"/>
    <w:rsid w:val="0030499B"/>
    <w:rsid w:val="00304C43"/>
    <w:rsid w:val="003055EA"/>
    <w:rsid w:val="00305DC1"/>
    <w:rsid w:val="00306CD4"/>
    <w:rsid w:val="003074EF"/>
    <w:rsid w:val="00307640"/>
    <w:rsid w:val="0031022F"/>
    <w:rsid w:val="0031160B"/>
    <w:rsid w:val="00312DBC"/>
    <w:rsid w:val="0031377A"/>
    <w:rsid w:val="003139C1"/>
    <w:rsid w:val="003147A0"/>
    <w:rsid w:val="003154E3"/>
    <w:rsid w:val="00316139"/>
    <w:rsid w:val="00316F0B"/>
    <w:rsid w:val="0031790F"/>
    <w:rsid w:val="00317E5C"/>
    <w:rsid w:val="00320993"/>
    <w:rsid w:val="00321982"/>
    <w:rsid w:val="0032201A"/>
    <w:rsid w:val="003234A8"/>
    <w:rsid w:val="00323FE3"/>
    <w:rsid w:val="003250DE"/>
    <w:rsid w:val="003251CF"/>
    <w:rsid w:val="003256C9"/>
    <w:rsid w:val="00330120"/>
    <w:rsid w:val="003301D1"/>
    <w:rsid w:val="00331A81"/>
    <w:rsid w:val="003328C5"/>
    <w:rsid w:val="00336C56"/>
    <w:rsid w:val="00337C9D"/>
    <w:rsid w:val="003401BF"/>
    <w:rsid w:val="00341A22"/>
    <w:rsid w:val="00341BF7"/>
    <w:rsid w:val="003426BF"/>
    <w:rsid w:val="00342928"/>
    <w:rsid w:val="00342C56"/>
    <w:rsid w:val="0034444D"/>
    <w:rsid w:val="00347761"/>
    <w:rsid w:val="00347B98"/>
    <w:rsid w:val="00350707"/>
    <w:rsid w:val="00350C24"/>
    <w:rsid w:val="00351076"/>
    <w:rsid w:val="0035173D"/>
    <w:rsid w:val="00351818"/>
    <w:rsid w:val="00351E65"/>
    <w:rsid w:val="00352808"/>
    <w:rsid w:val="00353467"/>
    <w:rsid w:val="00354707"/>
    <w:rsid w:val="003552E0"/>
    <w:rsid w:val="003555C4"/>
    <w:rsid w:val="00356E32"/>
    <w:rsid w:val="0035787A"/>
    <w:rsid w:val="00361343"/>
    <w:rsid w:val="0036207D"/>
    <w:rsid w:val="003620E7"/>
    <w:rsid w:val="0036219D"/>
    <w:rsid w:val="003632DA"/>
    <w:rsid w:val="003633A3"/>
    <w:rsid w:val="00363EDB"/>
    <w:rsid w:val="00364E40"/>
    <w:rsid w:val="00365052"/>
    <w:rsid w:val="00365D83"/>
    <w:rsid w:val="003677A0"/>
    <w:rsid w:val="00367AE6"/>
    <w:rsid w:val="003721CA"/>
    <w:rsid w:val="003724B5"/>
    <w:rsid w:val="00374D37"/>
    <w:rsid w:val="00375C67"/>
    <w:rsid w:val="003765C7"/>
    <w:rsid w:val="00376E44"/>
    <w:rsid w:val="003801FD"/>
    <w:rsid w:val="00380859"/>
    <w:rsid w:val="00380B8D"/>
    <w:rsid w:val="0038169C"/>
    <w:rsid w:val="003824F5"/>
    <w:rsid w:val="003851A8"/>
    <w:rsid w:val="003856AD"/>
    <w:rsid w:val="003859CE"/>
    <w:rsid w:val="00385D02"/>
    <w:rsid w:val="0038697A"/>
    <w:rsid w:val="00387163"/>
    <w:rsid w:val="00387FDF"/>
    <w:rsid w:val="0039107D"/>
    <w:rsid w:val="00393573"/>
    <w:rsid w:val="00393A95"/>
    <w:rsid w:val="003952DF"/>
    <w:rsid w:val="00395F39"/>
    <w:rsid w:val="00396ADB"/>
    <w:rsid w:val="00396F9B"/>
    <w:rsid w:val="003974AF"/>
    <w:rsid w:val="00397678"/>
    <w:rsid w:val="003978EA"/>
    <w:rsid w:val="003A0764"/>
    <w:rsid w:val="003A1604"/>
    <w:rsid w:val="003A279B"/>
    <w:rsid w:val="003A3398"/>
    <w:rsid w:val="003A34ED"/>
    <w:rsid w:val="003A5ABE"/>
    <w:rsid w:val="003A5ECF"/>
    <w:rsid w:val="003A772B"/>
    <w:rsid w:val="003A78C8"/>
    <w:rsid w:val="003B038E"/>
    <w:rsid w:val="003B15AA"/>
    <w:rsid w:val="003B27B4"/>
    <w:rsid w:val="003B295B"/>
    <w:rsid w:val="003B2B82"/>
    <w:rsid w:val="003B2D5B"/>
    <w:rsid w:val="003B2E07"/>
    <w:rsid w:val="003B2EBF"/>
    <w:rsid w:val="003B2FEE"/>
    <w:rsid w:val="003B3E1E"/>
    <w:rsid w:val="003B4288"/>
    <w:rsid w:val="003B45D3"/>
    <w:rsid w:val="003B478D"/>
    <w:rsid w:val="003B6167"/>
    <w:rsid w:val="003B6E3B"/>
    <w:rsid w:val="003C0A87"/>
    <w:rsid w:val="003C0A93"/>
    <w:rsid w:val="003C0EF3"/>
    <w:rsid w:val="003C16BF"/>
    <w:rsid w:val="003C1E9A"/>
    <w:rsid w:val="003C1EF1"/>
    <w:rsid w:val="003C2326"/>
    <w:rsid w:val="003C28F6"/>
    <w:rsid w:val="003C2B7C"/>
    <w:rsid w:val="003C39FD"/>
    <w:rsid w:val="003C3EAE"/>
    <w:rsid w:val="003C4213"/>
    <w:rsid w:val="003C428E"/>
    <w:rsid w:val="003C43F0"/>
    <w:rsid w:val="003C4718"/>
    <w:rsid w:val="003C4885"/>
    <w:rsid w:val="003C7CF3"/>
    <w:rsid w:val="003D0D4F"/>
    <w:rsid w:val="003D1330"/>
    <w:rsid w:val="003D1FE4"/>
    <w:rsid w:val="003D2022"/>
    <w:rsid w:val="003D32EF"/>
    <w:rsid w:val="003D5E83"/>
    <w:rsid w:val="003D60C1"/>
    <w:rsid w:val="003D6EC4"/>
    <w:rsid w:val="003E13FD"/>
    <w:rsid w:val="003E1FF5"/>
    <w:rsid w:val="003E29F6"/>
    <w:rsid w:val="003E2D2B"/>
    <w:rsid w:val="003E2E40"/>
    <w:rsid w:val="003E71AC"/>
    <w:rsid w:val="003F1C7E"/>
    <w:rsid w:val="003F200B"/>
    <w:rsid w:val="003F3C9E"/>
    <w:rsid w:val="003F3EC4"/>
    <w:rsid w:val="003F415A"/>
    <w:rsid w:val="003F4731"/>
    <w:rsid w:val="003F4F75"/>
    <w:rsid w:val="003F5770"/>
    <w:rsid w:val="003F58FC"/>
    <w:rsid w:val="003F7B02"/>
    <w:rsid w:val="003F7DEC"/>
    <w:rsid w:val="00400905"/>
    <w:rsid w:val="00400D4D"/>
    <w:rsid w:val="00400F84"/>
    <w:rsid w:val="00401FD7"/>
    <w:rsid w:val="00402753"/>
    <w:rsid w:val="004039AD"/>
    <w:rsid w:val="004055BB"/>
    <w:rsid w:val="00405667"/>
    <w:rsid w:val="004066F0"/>
    <w:rsid w:val="00406DC4"/>
    <w:rsid w:val="00406E67"/>
    <w:rsid w:val="00407D5B"/>
    <w:rsid w:val="004104E3"/>
    <w:rsid w:val="00411C46"/>
    <w:rsid w:val="00412C96"/>
    <w:rsid w:val="00412D9B"/>
    <w:rsid w:val="00413967"/>
    <w:rsid w:val="00413B94"/>
    <w:rsid w:val="004151E5"/>
    <w:rsid w:val="00415314"/>
    <w:rsid w:val="00415585"/>
    <w:rsid w:val="004159FE"/>
    <w:rsid w:val="00415A7C"/>
    <w:rsid w:val="00416DC6"/>
    <w:rsid w:val="0041727A"/>
    <w:rsid w:val="0042046B"/>
    <w:rsid w:val="00420487"/>
    <w:rsid w:val="00420D0F"/>
    <w:rsid w:val="00421874"/>
    <w:rsid w:val="00423F0A"/>
    <w:rsid w:val="00424325"/>
    <w:rsid w:val="0042600F"/>
    <w:rsid w:val="00426CBD"/>
    <w:rsid w:val="00427AFF"/>
    <w:rsid w:val="0043066B"/>
    <w:rsid w:val="004331FC"/>
    <w:rsid w:val="004342E2"/>
    <w:rsid w:val="00434EC2"/>
    <w:rsid w:val="00434F00"/>
    <w:rsid w:val="0043563C"/>
    <w:rsid w:val="0043595B"/>
    <w:rsid w:val="00435A62"/>
    <w:rsid w:val="00436566"/>
    <w:rsid w:val="00436DD4"/>
    <w:rsid w:val="004372B6"/>
    <w:rsid w:val="004373FC"/>
    <w:rsid w:val="00437CA4"/>
    <w:rsid w:val="0044159B"/>
    <w:rsid w:val="00441D86"/>
    <w:rsid w:val="0044202A"/>
    <w:rsid w:val="0044273E"/>
    <w:rsid w:val="004434BA"/>
    <w:rsid w:val="00443901"/>
    <w:rsid w:val="00445466"/>
    <w:rsid w:val="0044677C"/>
    <w:rsid w:val="004477F1"/>
    <w:rsid w:val="00447AA7"/>
    <w:rsid w:val="0045138F"/>
    <w:rsid w:val="00451E22"/>
    <w:rsid w:val="00452B1A"/>
    <w:rsid w:val="004546E3"/>
    <w:rsid w:val="00454EB0"/>
    <w:rsid w:val="00454F8E"/>
    <w:rsid w:val="00455191"/>
    <w:rsid w:val="00456260"/>
    <w:rsid w:val="00456399"/>
    <w:rsid w:val="0045719E"/>
    <w:rsid w:val="0045726D"/>
    <w:rsid w:val="00460B2F"/>
    <w:rsid w:val="00461601"/>
    <w:rsid w:val="00461B4D"/>
    <w:rsid w:val="00461FFA"/>
    <w:rsid w:val="00462899"/>
    <w:rsid w:val="00462A82"/>
    <w:rsid w:val="004631D7"/>
    <w:rsid w:val="004632F3"/>
    <w:rsid w:val="00463FE2"/>
    <w:rsid w:val="00464016"/>
    <w:rsid w:val="0046482F"/>
    <w:rsid w:val="00464D9D"/>
    <w:rsid w:val="00466828"/>
    <w:rsid w:val="004668D8"/>
    <w:rsid w:val="00471BF6"/>
    <w:rsid w:val="00471C71"/>
    <w:rsid w:val="00472B2A"/>
    <w:rsid w:val="004734C4"/>
    <w:rsid w:val="00474234"/>
    <w:rsid w:val="0047648B"/>
    <w:rsid w:val="004766F4"/>
    <w:rsid w:val="004768B3"/>
    <w:rsid w:val="004769FE"/>
    <w:rsid w:val="004775DC"/>
    <w:rsid w:val="0047794C"/>
    <w:rsid w:val="0048181C"/>
    <w:rsid w:val="00481826"/>
    <w:rsid w:val="00481CBD"/>
    <w:rsid w:val="004820BD"/>
    <w:rsid w:val="00482A4D"/>
    <w:rsid w:val="00482EFE"/>
    <w:rsid w:val="00484F46"/>
    <w:rsid w:val="00485082"/>
    <w:rsid w:val="0048528C"/>
    <w:rsid w:val="00485AF4"/>
    <w:rsid w:val="00485BFB"/>
    <w:rsid w:val="004907A5"/>
    <w:rsid w:val="00490CC0"/>
    <w:rsid w:val="004916BD"/>
    <w:rsid w:val="00492684"/>
    <w:rsid w:val="004949E9"/>
    <w:rsid w:val="00494D9B"/>
    <w:rsid w:val="0049596B"/>
    <w:rsid w:val="004960A6"/>
    <w:rsid w:val="00496DD4"/>
    <w:rsid w:val="00497A87"/>
    <w:rsid w:val="004A1756"/>
    <w:rsid w:val="004A3329"/>
    <w:rsid w:val="004A43EA"/>
    <w:rsid w:val="004A450C"/>
    <w:rsid w:val="004A52AB"/>
    <w:rsid w:val="004A5E55"/>
    <w:rsid w:val="004A6738"/>
    <w:rsid w:val="004A7E3C"/>
    <w:rsid w:val="004B0372"/>
    <w:rsid w:val="004B0A70"/>
    <w:rsid w:val="004B1167"/>
    <w:rsid w:val="004B17F7"/>
    <w:rsid w:val="004B1DFF"/>
    <w:rsid w:val="004B2303"/>
    <w:rsid w:val="004B2713"/>
    <w:rsid w:val="004B4988"/>
    <w:rsid w:val="004B561B"/>
    <w:rsid w:val="004B621A"/>
    <w:rsid w:val="004B71BE"/>
    <w:rsid w:val="004C0422"/>
    <w:rsid w:val="004C0720"/>
    <w:rsid w:val="004C0F8A"/>
    <w:rsid w:val="004C1AA1"/>
    <w:rsid w:val="004C2015"/>
    <w:rsid w:val="004C20CF"/>
    <w:rsid w:val="004C36FB"/>
    <w:rsid w:val="004C42EE"/>
    <w:rsid w:val="004C5362"/>
    <w:rsid w:val="004C5FF1"/>
    <w:rsid w:val="004C60A9"/>
    <w:rsid w:val="004C68B9"/>
    <w:rsid w:val="004C6AC8"/>
    <w:rsid w:val="004C762D"/>
    <w:rsid w:val="004D1418"/>
    <w:rsid w:val="004D23D6"/>
    <w:rsid w:val="004D24CB"/>
    <w:rsid w:val="004D41C1"/>
    <w:rsid w:val="004D5170"/>
    <w:rsid w:val="004D6993"/>
    <w:rsid w:val="004E00F7"/>
    <w:rsid w:val="004E0CBD"/>
    <w:rsid w:val="004E0F14"/>
    <w:rsid w:val="004E1347"/>
    <w:rsid w:val="004E1C40"/>
    <w:rsid w:val="004E3296"/>
    <w:rsid w:val="004E5C56"/>
    <w:rsid w:val="004E5CDF"/>
    <w:rsid w:val="004E5D8E"/>
    <w:rsid w:val="004E5E1B"/>
    <w:rsid w:val="004E61E4"/>
    <w:rsid w:val="004F059B"/>
    <w:rsid w:val="004F0947"/>
    <w:rsid w:val="004F2378"/>
    <w:rsid w:val="004F273B"/>
    <w:rsid w:val="004F3E5D"/>
    <w:rsid w:val="004F4F11"/>
    <w:rsid w:val="004F5E82"/>
    <w:rsid w:val="004F6152"/>
    <w:rsid w:val="004F63D6"/>
    <w:rsid w:val="004F68A2"/>
    <w:rsid w:val="004F6DEF"/>
    <w:rsid w:val="005008BD"/>
    <w:rsid w:val="00500D1B"/>
    <w:rsid w:val="00501733"/>
    <w:rsid w:val="00501B6D"/>
    <w:rsid w:val="00501CA4"/>
    <w:rsid w:val="0050229F"/>
    <w:rsid w:val="0050240C"/>
    <w:rsid w:val="005026E5"/>
    <w:rsid w:val="005049A2"/>
    <w:rsid w:val="005049CC"/>
    <w:rsid w:val="00504AF4"/>
    <w:rsid w:val="005062D0"/>
    <w:rsid w:val="00506981"/>
    <w:rsid w:val="00506A80"/>
    <w:rsid w:val="00507E0F"/>
    <w:rsid w:val="00510132"/>
    <w:rsid w:val="00510E97"/>
    <w:rsid w:val="005117FA"/>
    <w:rsid w:val="00511ADE"/>
    <w:rsid w:val="00512BC7"/>
    <w:rsid w:val="005137A7"/>
    <w:rsid w:val="00513C08"/>
    <w:rsid w:val="0051593F"/>
    <w:rsid w:val="00516243"/>
    <w:rsid w:val="00516D67"/>
    <w:rsid w:val="0051752F"/>
    <w:rsid w:val="00517651"/>
    <w:rsid w:val="00517893"/>
    <w:rsid w:val="00521A99"/>
    <w:rsid w:val="00522189"/>
    <w:rsid w:val="0052276E"/>
    <w:rsid w:val="005233BF"/>
    <w:rsid w:val="005235FE"/>
    <w:rsid w:val="00523F3C"/>
    <w:rsid w:val="00524437"/>
    <w:rsid w:val="00525720"/>
    <w:rsid w:val="00525AA8"/>
    <w:rsid w:val="00525D27"/>
    <w:rsid w:val="00525E09"/>
    <w:rsid w:val="00526583"/>
    <w:rsid w:val="00526C4B"/>
    <w:rsid w:val="00527281"/>
    <w:rsid w:val="00527E7C"/>
    <w:rsid w:val="0053061B"/>
    <w:rsid w:val="00530A65"/>
    <w:rsid w:val="0053155A"/>
    <w:rsid w:val="00531E93"/>
    <w:rsid w:val="00532624"/>
    <w:rsid w:val="00533A08"/>
    <w:rsid w:val="00535F55"/>
    <w:rsid w:val="005361A2"/>
    <w:rsid w:val="0053624D"/>
    <w:rsid w:val="005365D7"/>
    <w:rsid w:val="00537575"/>
    <w:rsid w:val="0054099A"/>
    <w:rsid w:val="005419B9"/>
    <w:rsid w:val="005431EC"/>
    <w:rsid w:val="00543C00"/>
    <w:rsid w:val="00544389"/>
    <w:rsid w:val="00544CF5"/>
    <w:rsid w:val="005451F0"/>
    <w:rsid w:val="00545F93"/>
    <w:rsid w:val="00547EF3"/>
    <w:rsid w:val="005504F3"/>
    <w:rsid w:val="00550CA1"/>
    <w:rsid w:val="00550E32"/>
    <w:rsid w:val="00551287"/>
    <w:rsid w:val="00551FE5"/>
    <w:rsid w:val="00552073"/>
    <w:rsid w:val="00553341"/>
    <w:rsid w:val="0055386B"/>
    <w:rsid w:val="00553FFB"/>
    <w:rsid w:val="0055478F"/>
    <w:rsid w:val="00555829"/>
    <w:rsid w:val="00555D9A"/>
    <w:rsid w:val="00556B6E"/>
    <w:rsid w:val="00556C85"/>
    <w:rsid w:val="00556FDD"/>
    <w:rsid w:val="00557A21"/>
    <w:rsid w:val="00557F0A"/>
    <w:rsid w:val="00560419"/>
    <w:rsid w:val="005617AB"/>
    <w:rsid w:val="00561AA2"/>
    <w:rsid w:val="00561CEE"/>
    <w:rsid w:val="00562196"/>
    <w:rsid w:val="0056221C"/>
    <w:rsid w:val="005628AB"/>
    <w:rsid w:val="00562F9B"/>
    <w:rsid w:val="005632D4"/>
    <w:rsid w:val="00563FA5"/>
    <w:rsid w:val="005643E0"/>
    <w:rsid w:val="0056444A"/>
    <w:rsid w:val="005650D7"/>
    <w:rsid w:val="005658BA"/>
    <w:rsid w:val="00566A77"/>
    <w:rsid w:val="00566FBB"/>
    <w:rsid w:val="00567922"/>
    <w:rsid w:val="00570377"/>
    <w:rsid w:val="00570F47"/>
    <w:rsid w:val="00572B80"/>
    <w:rsid w:val="00575062"/>
    <w:rsid w:val="005755CA"/>
    <w:rsid w:val="00575F9D"/>
    <w:rsid w:val="00576463"/>
    <w:rsid w:val="00576B16"/>
    <w:rsid w:val="00577166"/>
    <w:rsid w:val="0057720A"/>
    <w:rsid w:val="00580E6D"/>
    <w:rsid w:val="00582D7C"/>
    <w:rsid w:val="005839B3"/>
    <w:rsid w:val="00583D81"/>
    <w:rsid w:val="00584639"/>
    <w:rsid w:val="0058475F"/>
    <w:rsid w:val="0058622E"/>
    <w:rsid w:val="00586564"/>
    <w:rsid w:val="005868D4"/>
    <w:rsid w:val="00587E0D"/>
    <w:rsid w:val="00587EE5"/>
    <w:rsid w:val="00590E1B"/>
    <w:rsid w:val="00592332"/>
    <w:rsid w:val="00592B6D"/>
    <w:rsid w:val="00593CE0"/>
    <w:rsid w:val="0059547F"/>
    <w:rsid w:val="0059562C"/>
    <w:rsid w:val="00595CCD"/>
    <w:rsid w:val="005960C2"/>
    <w:rsid w:val="00596D39"/>
    <w:rsid w:val="00597214"/>
    <w:rsid w:val="00597808"/>
    <w:rsid w:val="005979FD"/>
    <w:rsid w:val="005A0E7D"/>
    <w:rsid w:val="005A11E3"/>
    <w:rsid w:val="005A16B8"/>
    <w:rsid w:val="005A1EC5"/>
    <w:rsid w:val="005A480A"/>
    <w:rsid w:val="005A53FF"/>
    <w:rsid w:val="005A5AD7"/>
    <w:rsid w:val="005B02ED"/>
    <w:rsid w:val="005B0791"/>
    <w:rsid w:val="005B07B6"/>
    <w:rsid w:val="005B0D5E"/>
    <w:rsid w:val="005B0F7C"/>
    <w:rsid w:val="005B13FF"/>
    <w:rsid w:val="005B1AE4"/>
    <w:rsid w:val="005B20F5"/>
    <w:rsid w:val="005B3EAB"/>
    <w:rsid w:val="005B5105"/>
    <w:rsid w:val="005B5372"/>
    <w:rsid w:val="005B6D02"/>
    <w:rsid w:val="005C04CB"/>
    <w:rsid w:val="005C09DC"/>
    <w:rsid w:val="005C0EE3"/>
    <w:rsid w:val="005C193C"/>
    <w:rsid w:val="005C1BD6"/>
    <w:rsid w:val="005C2DE3"/>
    <w:rsid w:val="005C3ADE"/>
    <w:rsid w:val="005C5DC5"/>
    <w:rsid w:val="005C6E68"/>
    <w:rsid w:val="005C725B"/>
    <w:rsid w:val="005C730B"/>
    <w:rsid w:val="005D0825"/>
    <w:rsid w:val="005D1316"/>
    <w:rsid w:val="005D1DCF"/>
    <w:rsid w:val="005D22EE"/>
    <w:rsid w:val="005D47A3"/>
    <w:rsid w:val="005D4B17"/>
    <w:rsid w:val="005D560C"/>
    <w:rsid w:val="005D5813"/>
    <w:rsid w:val="005D667A"/>
    <w:rsid w:val="005D70D0"/>
    <w:rsid w:val="005D7127"/>
    <w:rsid w:val="005D74C0"/>
    <w:rsid w:val="005E07F6"/>
    <w:rsid w:val="005E280F"/>
    <w:rsid w:val="005E28DC"/>
    <w:rsid w:val="005E3D84"/>
    <w:rsid w:val="005E4AD0"/>
    <w:rsid w:val="005E548C"/>
    <w:rsid w:val="005E5D49"/>
    <w:rsid w:val="005E5EF0"/>
    <w:rsid w:val="005E65C9"/>
    <w:rsid w:val="005E6923"/>
    <w:rsid w:val="005F003F"/>
    <w:rsid w:val="005F2AFC"/>
    <w:rsid w:val="005F3D89"/>
    <w:rsid w:val="005F45F3"/>
    <w:rsid w:val="005F4764"/>
    <w:rsid w:val="005F4827"/>
    <w:rsid w:val="005F5687"/>
    <w:rsid w:val="005F5C8F"/>
    <w:rsid w:val="005F5CF8"/>
    <w:rsid w:val="005F6838"/>
    <w:rsid w:val="005F7295"/>
    <w:rsid w:val="00600CD1"/>
    <w:rsid w:val="006018DA"/>
    <w:rsid w:val="00602660"/>
    <w:rsid w:val="00603171"/>
    <w:rsid w:val="006047DD"/>
    <w:rsid w:val="00604DB3"/>
    <w:rsid w:val="0060581F"/>
    <w:rsid w:val="00606EED"/>
    <w:rsid w:val="00607C75"/>
    <w:rsid w:val="00610C21"/>
    <w:rsid w:val="00611059"/>
    <w:rsid w:val="00611472"/>
    <w:rsid w:val="00611791"/>
    <w:rsid w:val="00611CAB"/>
    <w:rsid w:val="006121CA"/>
    <w:rsid w:val="00612260"/>
    <w:rsid w:val="00614725"/>
    <w:rsid w:val="00614D48"/>
    <w:rsid w:val="00615274"/>
    <w:rsid w:val="006159DD"/>
    <w:rsid w:val="00615B1F"/>
    <w:rsid w:val="00615D23"/>
    <w:rsid w:val="00616061"/>
    <w:rsid w:val="00616928"/>
    <w:rsid w:val="00617E9A"/>
    <w:rsid w:val="00621184"/>
    <w:rsid w:val="006226A2"/>
    <w:rsid w:val="00622F7C"/>
    <w:rsid w:val="00623A83"/>
    <w:rsid w:val="00624956"/>
    <w:rsid w:val="00624E5F"/>
    <w:rsid w:val="006277D8"/>
    <w:rsid w:val="0062794A"/>
    <w:rsid w:val="006305D3"/>
    <w:rsid w:val="006307B7"/>
    <w:rsid w:val="00631E6F"/>
    <w:rsid w:val="00632D47"/>
    <w:rsid w:val="00633071"/>
    <w:rsid w:val="00633C05"/>
    <w:rsid w:val="00633C61"/>
    <w:rsid w:val="0063403E"/>
    <w:rsid w:val="0063530C"/>
    <w:rsid w:val="00635E03"/>
    <w:rsid w:val="00636611"/>
    <w:rsid w:val="0063719F"/>
    <w:rsid w:val="00637D0F"/>
    <w:rsid w:val="006407B2"/>
    <w:rsid w:val="0064091B"/>
    <w:rsid w:val="006409EF"/>
    <w:rsid w:val="00642E91"/>
    <w:rsid w:val="00644DB8"/>
    <w:rsid w:val="00645626"/>
    <w:rsid w:val="00646693"/>
    <w:rsid w:val="00646AAD"/>
    <w:rsid w:val="00646EFE"/>
    <w:rsid w:val="00647696"/>
    <w:rsid w:val="00650A47"/>
    <w:rsid w:val="00650E06"/>
    <w:rsid w:val="006512CF"/>
    <w:rsid w:val="0065222A"/>
    <w:rsid w:val="00652700"/>
    <w:rsid w:val="006529D6"/>
    <w:rsid w:val="006533E9"/>
    <w:rsid w:val="006538F4"/>
    <w:rsid w:val="00654049"/>
    <w:rsid w:val="006545BC"/>
    <w:rsid w:val="00654AB6"/>
    <w:rsid w:val="006551BD"/>
    <w:rsid w:val="0065674D"/>
    <w:rsid w:val="00656F9C"/>
    <w:rsid w:val="006570DA"/>
    <w:rsid w:val="006600D1"/>
    <w:rsid w:val="006617C4"/>
    <w:rsid w:val="006620AD"/>
    <w:rsid w:val="00662EB0"/>
    <w:rsid w:val="00663532"/>
    <w:rsid w:val="00663939"/>
    <w:rsid w:val="0066408C"/>
    <w:rsid w:val="0066479E"/>
    <w:rsid w:val="00664F7C"/>
    <w:rsid w:val="0066504F"/>
    <w:rsid w:val="006660E8"/>
    <w:rsid w:val="00667090"/>
    <w:rsid w:val="0067083E"/>
    <w:rsid w:val="00670938"/>
    <w:rsid w:val="0067144F"/>
    <w:rsid w:val="00671681"/>
    <w:rsid w:val="006731FF"/>
    <w:rsid w:val="00673DB2"/>
    <w:rsid w:val="006743C4"/>
    <w:rsid w:val="00675A13"/>
    <w:rsid w:val="006774E5"/>
    <w:rsid w:val="00677F35"/>
    <w:rsid w:val="006806D2"/>
    <w:rsid w:val="006807EA"/>
    <w:rsid w:val="00680B3A"/>
    <w:rsid w:val="00681D44"/>
    <w:rsid w:val="00682883"/>
    <w:rsid w:val="00682F5F"/>
    <w:rsid w:val="00687685"/>
    <w:rsid w:val="00687689"/>
    <w:rsid w:val="00687DDC"/>
    <w:rsid w:val="00691D7F"/>
    <w:rsid w:val="00692F77"/>
    <w:rsid w:val="00694CF7"/>
    <w:rsid w:val="00695285"/>
    <w:rsid w:val="00695421"/>
    <w:rsid w:val="00696B4B"/>
    <w:rsid w:val="00696D47"/>
    <w:rsid w:val="00697BC7"/>
    <w:rsid w:val="00697BC8"/>
    <w:rsid w:val="006A049B"/>
    <w:rsid w:val="006A04DA"/>
    <w:rsid w:val="006A13E7"/>
    <w:rsid w:val="006A3A11"/>
    <w:rsid w:val="006A3AC9"/>
    <w:rsid w:val="006A4C77"/>
    <w:rsid w:val="006A520A"/>
    <w:rsid w:val="006A66DA"/>
    <w:rsid w:val="006A7E34"/>
    <w:rsid w:val="006A7E93"/>
    <w:rsid w:val="006B0311"/>
    <w:rsid w:val="006B0BD8"/>
    <w:rsid w:val="006B128B"/>
    <w:rsid w:val="006B1AA0"/>
    <w:rsid w:val="006B1DA1"/>
    <w:rsid w:val="006B2383"/>
    <w:rsid w:val="006B2A31"/>
    <w:rsid w:val="006B4103"/>
    <w:rsid w:val="006B5093"/>
    <w:rsid w:val="006B5DE3"/>
    <w:rsid w:val="006B65AE"/>
    <w:rsid w:val="006B762B"/>
    <w:rsid w:val="006B76D0"/>
    <w:rsid w:val="006B7CED"/>
    <w:rsid w:val="006C0E12"/>
    <w:rsid w:val="006C10B0"/>
    <w:rsid w:val="006C1EAD"/>
    <w:rsid w:val="006C22E7"/>
    <w:rsid w:val="006C3C4B"/>
    <w:rsid w:val="006C4290"/>
    <w:rsid w:val="006C50A5"/>
    <w:rsid w:val="006C5236"/>
    <w:rsid w:val="006C5346"/>
    <w:rsid w:val="006C688B"/>
    <w:rsid w:val="006C6891"/>
    <w:rsid w:val="006D2C16"/>
    <w:rsid w:val="006D5865"/>
    <w:rsid w:val="006D6051"/>
    <w:rsid w:val="006D619D"/>
    <w:rsid w:val="006E0304"/>
    <w:rsid w:val="006E053A"/>
    <w:rsid w:val="006E1797"/>
    <w:rsid w:val="006E1B5E"/>
    <w:rsid w:val="006E1CEC"/>
    <w:rsid w:val="006E22F9"/>
    <w:rsid w:val="006E2B7B"/>
    <w:rsid w:val="006E2CDC"/>
    <w:rsid w:val="006E42EB"/>
    <w:rsid w:val="006E434C"/>
    <w:rsid w:val="006E46B8"/>
    <w:rsid w:val="006E489B"/>
    <w:rsid w:val="006E4E3A"/>
    <w:rsid w:val="006E4E72"/>
    <w:rsid w:val="006E61E8"/>
    <w:rsid w:val="006E64DC"/>
    <w:rsid w:val="006E6563"/>
    <w:rsid w:val="006F2785"/>
    <w:rsid w:val="006F43DF"/>
    <w:rsid w:val="006F4C5A"/>
    <w:rsid w:val="006F6846"/>
    <w:rsid w:val="006F6EFE"/>
    <w:rsid w:val="006F74D3"/>
    <w:rsid w:val="00700355"/>
    <w:rsid w:val="00700B18"/>
    <w:rsid w:val="00701201"/>
    <w:rsid w:val="00702CCB"/>
    <w:rsid w:val="00704E8C"/>
    <w:rsid w:val="00704FB5"/>
    <w:rsid w:val="0071083B"/>
    <w:rsid w:val="007125B6"/>
    <w:rsid w:val="00713AA3"/>
    <w:rsid w:val="0071429C"/>
    <w:rsid w:val="0071453C"/>
    <w:rsid w:val="0071575A"/>
    <w:rsid w:val="00715A7D"/>
    <w:rsid w:val="0071632D"/>
    <w:rsid w:val="00720355"/>
    <w:rsid w:val="00720552"/>
    <w:rsid w:val="00721632"/>
    <w:rsid w:val="00722A88"/>
    <w:rsid w:val="00722B28"/>
    <w:rsid w:val="00723562"/>
    <w:rsid w:val="007243DA"/>
    <w:rsid w:val="00724778"/>
    <w:rsid w:val="00724CF5"/>
    <w:rsid w:val="0072530F"/>
    <w:rsid w:val="00725366"/>
    <w:rsid w:val="00730385"/>
    <w:rsid w:val="007303CE"/>
    <w:rsid w:val="00730599"/>
    <w:rsid w:val="00730745"/>
    <w:rsid w:val="00730791"/>
    <w:rsid w:val="007309F7"/>
    <w:rsid w:val="00730FA3"/>
    <w:rsid w:val="00731D41"/>
    <w:rsid w:val="007326C9"/>
    <w:rsid w:val="00733400"/>
    <w:rsid w:val="007349E3"/>
    <w:rsid w:val="007350CD"/>
    <w:rsid w:val="007362D9"/>
    <w:rsid w:val="00737D87"/>
    <w:rsid w:val="00741F16"/>
    <w:rsid w:val="00742A8B"/>
    <w:rsid w:val="00743349"/>
    <w:rsid w:val="007437C7"/>
    <w:rsid w:val="00745020"/>
    <w:rsid w:val="00745092"/>
    <w:rsid w:val="00750F06"/>
    <w:rsid w:val="00751006"/>
    <w:rsid w:val="007513A6"/>
    <w:rsid w:val="0075264A"/>
    <w:rsid w:val="007540AB"/>
    <w:rsid w:val="00757419"/>
    <w:rsid w:val="0076026E"/>
    <w:rsid w:val="0076082D"/>
    <w:rsid w:val="0076194C"/>
    <w:rsid w:val="00761CB6"/>
    <w:rsid w:val="00761EBB"/>
    <w:rsid w:val="0076281C"/>
    <w:rsid w:val="00764A9D"/>
    <w:rsid w:val="00765053"/>
    <w:rsid w:val="00765418"/>
    <w:rsid w:val="00766262"/>
    <w:rsid w:val="00766A15"/>
    <w:rsid w:val="00766ED8"/>
    <w:rsid w:val="007679B6"/>
    <w:rsid w:val="00767BEE"/>
    <w:rsid w:val="00770577"/>
    <w:rsid w:val="007706FA"/>
    <w:rsid w:val="00771A78"/>
    <w:rsid w:val="00771EC7"/>
    <w:rsid w:val="0077383D"/>
    <w:rsid w:val="007757FF"/>
    <w:rsid w:val="00775B33"/>
    <w:rsid w:val="00775FAE"/>
    <w:rsid w:val="00776D89"/>
    <w:rsid w:val="00777598"/>
    <w:rsid w:val="0077784F"/>
    <w:rsid w:val="00777D1F"/>
    <w:rsid w:val="0078078C"/>
    <w:rsid w:val="007808C1"/>
    <w:rsid w:val="007808E9"/>
    <w:rsid w:val="00780B65"/>
    <w:rsid w:val="00780DF1"/>
    <w:rsid w:val="00780F2F"/>
    <w:rsid w:val="00782016"/>
    <w:rsid w:val="0078370F"/>
    <w:rsid w:val="00784CD7"/>
    <w:rsid w:val="00785570"/>
    <w:rsid w:val="0078695C"/>
    <w:rsid w:val="00787299"/>
    <w:rsid w:val="007908C2"/>
    <w:rsid w:val="007921FB"/>
    <w:rsid w:val="0079252E"/>
    <w:rsid w:val="00794915"/>
    <w:rsid w:val="007957AB"/>
    <w:rsid w:val="00795B4B"/>
    <w:rsid w:val="00796089"/>
    <w:rsid w:val="00796B9D"/>
    <w:rsid w:val="00796DA7"/>
    <w:rsid w:val="00797E1F"/>
    <w:rsid w:val="007A02D3"/>
    <w:rsid w:val="007A066A"/>
    <w:rsid w:val="007A165B"/>
    <w:rsid w:val="007A21EA"/>
    <w:rsid w:val="007A27EF"/>
    <w:rsid w:val="007A3992"/>
    <w:rsid w:val="007A3AF2"/>
    <w:rsid w:val="007A420E"/>
    <w:rsid w:val="007A54E4"/>
    <w:rsid w:val="007A696D"/>
    <w:rsid w:val="007A6BF4"/>
    <w:rsid w:val="007A75C0"/>
    <w:rsid w:val="007B0B6F"/>
    <w:rsid w:val="007B1901"/>
    <w:rsid w:val="007B1987"/>
    <w:rsid w:val="007B1F26"/>
    <w:rsid w:val="007B2250"/>
    <w:rsid w:val="007B3602"/>
    <w:rsid w:val="007B3C8A"/>
    <w:rsid w:val="007B5847"/>
    <w:rsid w:val="007B6E91"/>
    <w:rsid w:val="007B7ACD"/>
    <w:rsid w:val="007C01B3"/>
    <w:rsid w:val="007C02A9"/>
    <w:rsid w:val="007C064D"/>
    <w:rsid w:val="007C0A4C"/>
    <w:rsid w:val="007C0BED"/>
    <w:rsid w:val="007C127B"/>
    <w:rsid w:val="007C14B3"/>
    <w:rsid w:val="007C16C3"/>
    <w:rsid w:val="007C1DF5"/>
    <w:rsid w:val="007C3298"/>
    <w:rsid w:val="007C491E"/>
    <w:rsid w:val="007C4AE8"/>
    <w:rsid w:val="007C5028"/>
    <w:rsid w:val="007C55F0"/>
    <w:rsid w:val="007C6679"/>
    <w:rsid w:val="007C69EE"/>
    <w:rsid w:val="007C7E2A"/>
    <w:rsid w:val="007D0AF7"/>
    <w:rsid w:val="007D1599"/>
    <w:rsid w:val="007D19C5"/>
    <w:rsid w:val="007D1F74"/>
    <w:rsid w:val="007D2332"/>
    <w:rsid w:val="007D24E7"/>
    <w:rsid w:val="007D2540"/>
    <w:rsid w:val="007D3131"/>
    <w:rsid w:val="007D3249"/>
    <w:rsid w:val="007D3F64"/>
    <w:rsid w:val="007D4A52"/>
    <w:rsid w:val="007E0D87"/>
    <w:rsid w:val="007E0EB0"/>
    <w:rsid w:val="007E50B3"/>
    <w:rsid w:val="007E60AB"/>
    <w:rsid w:val="007E6355"/>
    <w:rsid w:val="007E63FC"/>
    <w:rsid w:val="007E6770"/>
    <w:rsid w:val="007E77A5"/>
    <w:rsid w:val="007F0281"/>
    <w:rsid w:val="007F0B00"/>
    <w:rsid w:val="007F0CF2"/>
    <w:rsid w:val="007F0EC8"/>
    <w:rsid w:val="007F1409"/>
    <w:rsid w:val="007F14FC"/>
    <w:rsid w:val="007F179E"/>
    <w:rsid w:val="007F18E0"/>
    <w:rsid w:val="007F1BD0"/>
    <w:rsid w:val="007F4724"/>
    <w:rsid w:val="007F4850"/>
    <w:rsid w:val="007F5191"/>
    <w:rsid w:val="007F6385"/>
    <w:rsid w:val="007F6BE9"/>
    <w:rsid w:val="007F7F05"/>
    <w:rsid w:val="008001A9"/>
    <w:rsid w:val="00800DA5"/>
    <w:rsid w:val="00801919"/>
    <w:rsid w:val="00801AE4"/>
    <w:rsid w:val="00801DAD"/>
    <w:rsid w:val="008025FA"/>
    <w:rsid w:val="008028AD"/>
    <w:rsid w:val="0080496B"/>
    <w:rsid w:val="00804F49"/>
    <w:rsid w:val="00805FB8"/>
    <w:rsid w:val="00806048"/>
    <w:rsid w:val="0080732B"/>
    <w:rsid w:val="00807352"/>
    <w:rsid w:val="00807AB7"/>
    <w:rsid w:val="00807EEB"/>
    <w:rsid w:val="00810425"/>
    <w:rsid w:val="008119A2"/>
    <w:rsid w:val="00811E6D"/>
    <w:rsid w:val="008122B2"/>
    <w:rsid w:val="0081377A"/>
    <w:rsid w:val="00813A3E"/>
    <w:rsid w:val="00813BE0"/>
    <w:rsid w:val="00814274"/>
    <w:rsid w:val="00814715"/>
    <w:rsid w:val="008153F1"/>
    <w:rsid w:val="00815B36"/>
    <w:rsid w:val="00816DF3"/>
    <w:rsid w:val="008171D3"/>
    <w:rsid w:val="00820946"/>
    <w:rsid w:val="0082195D"/>
    <w:rsid w:val="00821FA7"/>
    <w:rsid w:val="008221D3"/>
    <w:rsid w:val="00823799"/>
    <w:rsid w:val="008237A2"/>
    <w:rsid w:val="00824A77"/>
    <w:rsid w:val="00824CFB"/>
    <w:rsid w:val="00830056"/>
    <w:rsid w:val="00831E7E"/>
    <w:rsid w:val="00832047"/>
    <w:rsid w:val="00832081"/>
    <w:rsid w:val="00832320"/>
    <w:rsid w:val="00833431"/>
    <w:rsid w:val="00833745"/>
    <w:rsid w:val="00833C85"/>
    <w:rsid w:val="00834418"/>
    <w:rsid w:val="008349F9"/>
    <w:rsid w:val="00834A7A"/>
    <w:rsid w:val="00835825"/>
    <w:rsid w:val="00835E53"/>
    <w:rsid w:val="008365E5"/>
    <w:rsid w:val="008377F6"/>
    <w:rsid w:val="00840E45"/>
    <w:rsid w:val="00840E53"/>
    <w:rsid w:val="00843140"/>
    <w:rsid w:val="00843597"/>
    <w:rsid w:val="0084394B"/>
    <w:rsid w:val="008442C4"/>
    <w:rsid w:val="00844C1C"/>
    <w:rsid w:val="00844D7B"/>
    <w:rsid w:val="00846528"/>
    <w:rsid w:val="00846906"/>
    <w:rsid w:val="008473B8"/>
    <w:rsid w:val="00850294"/>
    <w:rsid w:val="0085053A"/>
    <w:rsid w:val="008505E6"/>
    <w:rsid w:val="00850624"/>
    <w:rsid w:val="00852FF5"/>
    <w:rsid w:val="00853B55"/>
    <w:rsid w:val="00853BD3"/>
    <w:rsid w:val="0085419B"/>
    <w:rsid w:val="00854529"/>
    <w:rsid w:val="008546E5"/>
    <w:rsid w:val="008547CD"/>
    <w:rsid w:val="0085698D"/>
    <w:rsid w:val="00856D23"/>
    <w:rsid w:val="00857FEB"/>
    <w:rsid w:val="00861AED"/>
    <w:rsid w:val="008624BA"/>
    <w:rsid w:val="00862A14"/>
    <w:rsid w:val="008634FB"/>
    <w:rsid w:val="00863CF5"/>
    <w:rsid w:val="00864585"/>
    <w:rsid w:val="00864ADE"/>
    <w:rsid w:val="00865262"/>
    <w:rsid w:val="00867D73"/>
    <w:rsid w:val="00870286"/>
    <w:rsid w:val="00870E26"/>
    <w:rsid w:val="008716EB"/>
    <w:rsid w:val="00872543"/>
    <w:rsid w:val="008734F5"/>
    <w:rsid w:val="0087626E"/>
    <w:rsid w:val="008766D3"/>
    <w:rsid w:val="00877CF2"/>
    <w:rsid w:val="008803BC"/>
    <w:rsid w:val="00880A79"/>
    <w:rsid w:val="00880EFD"/>
    <w:rsid w:val="00883D4B"/>
    <w:rsid w:val="00884438"/>
    <w:rsid w:val="00884857"/>
    <w:rsid w:val="00884B91"/>
    <w:rsid w:val="008854EF"/>
    <w:rsid w:val="00887FB3"/>
    <w:rsid w:val="008915FC"/>
    <w:rsid w:val="00891D97"/>
    <w:rsid w:val="0089236D"/>
    <w:rsid w:val="008944D4"/>
    <w:rsid w:val="00894CD8"/>
    <w:rsid w:val="00895FF9"/>
    <w:rsid w:val="008974E3"/>
    <w:rsid w:val="008A09BE"/>
    <w:rsid w:val="008A0F63"/>
    <w:rsid w:val="008A3731"/>
    <w:rsid w:val="008A3BF2"/>
    <w:rsid w:val="008A3D47"/>
    <w:rsid w:val="008A512A"/>
    <w:rsid w:val="008A61F5"/>
    <w:rsid w:val="008A7F48"/>
    <w:rsid w:val="008A7FE0"/>
    <w:rsid w:val="008B0543"/>
    <w:rsid w:val="008B0726"/>
    <w:rsid w:val="008B0AA3"/>
    <w:rsid w:val="008B0B20"/>
    <w:rsid w:val="008B0FD3"/>
    <w:rsid w:val="008B188D"/>
    <w:rsid w:val="008B2014"/>
    <w:rsid w:val="008B20EB"/>
    <w:rsid w:val="008B2144"/>
    <w:rsid w:val="008B279F"/>
    <w:rsid w:val="008B28F0"/>
    <w:rsid w:val="008B40E9"/>
    <w:rsid w:val="008B4360"/>
    <w:rsid w:val="008B4F7A"/>
    <w:rsid w:val="008B52C2"/>
    <w:rsid w:val="008B52F1"/>
    <w:rsid w:val="008B712A"/>
    <w:rsid w:val="008B7831"/>
    <w:rsid w:val="008C001C"/>
    <w:rsid w:val="008C1470"/>
    <w:rsid w:val="008C19E5"/>
    <w:rsid w:val="008C1CD8"/>
    <w:rsid w:val="008C258F"/>
    <w:rsid w:val="008C2DAE"/>
    <w:rsid w:val="008C2F2A"/>
    <w:rsid w:val="008C35A5"/>
    <w:rsid w:val="008C3A48"/>
    <w:rsid w:val="008C4B95"/>
    <w:rsid w:val="008C5056"/>
    <w:rsid w:val="008C5AFC"/>
    <w:rsid w:val="008D0045"/>
    <w:rsid w:val="008D0AAE"/>
    <w:rsid w:val="008D29A4"/>
    <w:rsid w:val="008D427C"/>
    <w:rsid w:val="008D45D0"/>
    <w:rsid w:val="008D616C"/>
    <w:rsid w:val="008D6528"/>
    <w:rsid w:val="008D73C0"/>
    <w:rsid w:val="008E00CB"/>
    <w:rsid w:val="008E06D4"/>
    <w:rsid w:val="008E1426"/>
    <w:rsid w:val="008E2321"/>
    <w:rsid w:val="008E2413"/>
    <w:rsid w:val="008E2531"/>
    <w:rsid w:val="008E393D"/>
    <w:rsid w:val="008E3F9F"/>
    <w:rsid w:val="008E40EF"/>
    <w:rsid w:val="008E6E52"/>
    <w:rsid w:val="008F0B08"/>
    <w:rsid w:val="008F0BE6"/>
    <w:rsid w:val="008F174A"/>
    <w:rsid w:val="008F19CF"/>
    <w:rsid w:val="008F535C"/>
    <w:rsid w:val="008F5536"/>
    <w:rsid w:val="008F62FB"/>
    <w:rsid w:val="008F6507"/>
    <w:rsid w:val="008F668C"/>
    <w:rsid w:val="008F68AC"/>
    <w:rsid w:val="008F75C0"/>
    <w:rsid w:val="00900080"/>
    <w:rsid w:val="00901496"/>
    <w:rsid w:val="00902270"/>
    <w:rsid w:val="0090392C"/>
    <w:rsid w:val="00903B61"/>
    <w:rsid w:val="009046E8"/>
    <w:rsid w:val="00904813"/>
    <w:rsid w:val="00904856"/>
    <w:rsid w:val="00904F4B"/>
    <w:rsid w:val="009052F1"/>
    <w:rsid w:val="00907D4A"/>
    <w:rsid w:val="009106BC"/>
    <w:rsid w:val="00910CDD"/>
    <w:rsid w:val="009121DB"/>
    <w:rsid w:val="009137EF"/>
    <w:rsid w:val="00915456"/>
    <w:rsid w:val="00915999"/>
    <w:rsid w:val="00915D5A"/>
    <w:rsid w:val="00915FF8"/>
    <w:rsid w:val="00916DC0"/>
    <w:rsid w:val="00917456"/>
    <w:rsid w:val="00922099"/>
    <w:rsid w:val="009223CF"/>
    <w:rsid w:val="00923294"/>
    <w:rsid w:val="00923F63"/>
    <w:rsid w:val="00924E2C"/>
    <w:rsid w:val="00925334"/>
    <w:rsid w:val="00925A69"/>
    <w:rsid w:val="00925D0D"/>
    <w:rsid w:val="00926C40"/>
    <w:rsid w:val="009279BB"/>
    <w:rsid w:val="00927E6E"/>
    <w:rsid w:val="00930A13"/>
    <w:rsid w:val="0093231A"/>
    <w:rsid w:val="00932504"/>
    <w:rsid w:val="00933992"/>
    <w:rsid w:val="00933EBF"/>
    <w:rsid w:val="0093464E"/>
    <w:rsid w:val="00934863"/>
    <w:rsid w:val="00934EA6"/>
    <w:rsid w:val="00934ED9"/>
    <w:rsid w:val="00935666"/>
    <w:rsid w:val="0093573F"/>
    <w:rsid w:val="00936489"/>
    <w:rsid w:val="00936A78"/>
    <w:rsid w:val="0093737C"/>
    <w:rsid w:val="00937958"/>
    <w:rsid w:val="00940087"/>
    <w:rsid w:val="00940897"/>
    <w:rsid w:val="00941671"/>
    <w:rsid w:val="00941766"/>
    <w:rsid w:val="0094224B"/>
    <w:rsid w:val="00942983"/>
    <w:rsid w:val="00942CC8"/>
    <w:rsid w:val="0094361C"/>
    <w:rsid w:val="00943B23"/>
    <w:rsid w:val="00944F08"/>
    <w:rsid w:val="00951383"/>
    <w:rsid w:val="0095181D"/>
    <w:rsid w:val="009526DB"/>
    <w:rsid w:val="009529DC"/>
    <w:rsid w:val="00952E7B"/>
    <w:rsid w:val="00952EB7"/>
    <w:rsid w:val="00954125"/>
    <w:rsid w:val="00956045"/>
    <w:rsid w:val="00956675"/>
    <w:rsid w:val="0095668C"/>
    <w:rsid w:val="00956756"/>
    <w:rsid w:val="00956F1E"/>
    <w:rsid w:val="00961801"/>
    <w:rsid w:val="00961E75"/>
    <w:rsid w:val="0096297E"/>
    <w:rsid w:val="00962EDC"/>
    <w:rsid w:val="009651D0"/>
    <w:rsid w:val="00966BDD"/>
    <w:rsid w:val="00971036"/>
    <w:rsid w:val="009717FE"/>
    <w:rsid w:val="0097239A"/>
    <w:rsid w:val="00972EB0"/>
    <w:rsid w:val="009731BA"/>
    <w:rsid w:val="00974036"/>
    <w:rsid w:val="009745BA"/>
    <w:rsid w:val="00975705"/>
    <w:rsid w:val="00976461"/>
    <w:rsid w:val="00976564"/>
    <w:rsid w:val="00976AF2"/>
    <w:rsid w:val="00977321"/>
    <w:rsid w:val="009775CD"/>
    <w:rsid w:val="00977649"/>
    <w:rsid w:val="009804CD"/>
    <w:rsid w:val="009807FA"/>
    <w:rsid w:val="009815F3"/>
    <w:rsid w:val="00982AC2"/>
    <w:rsid w:val="00983573"/>
    <w:rsid w:val="00983E22"/>
    <w:rsid w:val="00984875"/>
    <w:rsid w:val="00984CD0"/>
    <w:rsid w:val="00986DBA"/>
    <w:rsid w:val="00987A3F"/>
    <w:rsid w:val="00990AB5"/>
    <w:rsid w:val="00990CF7"/>
    <w:rsid w:val="009921DF"/>
    <w:rsid w:val="009922A4"/>
    <w:rsid w:val="00992BE9"/>
    <w:rsid w:val="009937DF"/>
    <w:rsid w:val="00994D95"/>
    <w:rsid w:val="00994DE0"/>
    <w:rsid w:val="009968B0"/>
    <w:rsid w:val="00996D48"/>
    <w:rsid w:val="00997722"/>
    <w:rsid w:val="009978DF"/>
    <w:rsid w:val="009A03F7"/>
    <w:rsid w:val="009A09C3"/>
    <w:rsid w:val="009A1507"/>
    <w:rsid w:val="009A239F"/>
    <w:rsid w:val="009A5573"/>
    <w:rsid w:val="009A6801"/>
    <w:rsid w:val="009A7319"/>
    <w:rsid w:val="009A7A79"/>
    <w:rsid w:val="009A7EA6"/>
    <w:rsid w:val="009B1F1B"/>
    <w:rsid w:val="009B2280"/>
    <w:rsid w:val="009B2506"/>
    <w:rsid w:val="009B318D"/>
    <w:rsid w:val="009B3DFA"/>
    <w:rsid w:val="009B485C"/>
    <w:rsid w:val="009B4974"/>
    <w:rsid w:val="009B4F6E"/>
    <w:rsid w:val="009B5D57"/>
    <w:rsid w:val="009B6CD1"/>
    <w:rsid w:val="009B708B"/>
    <w:rsid w:val="009B7A40"/>
    <w:rsid w:val="009C0A84"/>
    <w:rsid w:val="009C0CBA"/>
    <w:rsid w:val="009C10A1"/>
    <w:rsid w:val="009C18A3"/>
    <w:rsid w:val="009C1F6A"/>
    <w:rsid w:val="009C280D"/>
    <w:rsid w:val="009C33BD"/>
    <w:rsid w:val="009C4C13"/>
    <w:rsid w:val="009C5780"/>
    <w:rsid w:val="009C5A7D"/>
    <w:rsid w:val="009C6629"/>
    <w:rsid w:val="009C697A"/>
    <w:rsid w:val="009C6ACA"/>
    <w:rsid w:val="009C6BB4"/>
    <w:rsid w:val="009C7175"/>
    <w:rsid w:val="009D080E"/>
    <w:rsid w:val="009D1F53"/>
    <w:rsid w:val="009D251D"/>
    <w:rsid w:val="009D48B2"/>
    <w:rsid w:val="009D48C6"/>
    <w:rsid w:val="009D5690"/>
    <w:rsid w:val="009D5B7E"/>
    <w:rsid w:val="009D6908"/>
    <w:rsid w:val="009D7985"/>
    <w:rsid w:val="009D798A"/>
    <w:rsid w:val="009E0856"/>
    <w:rsid w:val="009E0B97"/>
    <w:rsid w:val="009E23C3"/>
    <w:rsid w:val="009E5849"/>
    <w:rsid w:val="009E5CEA"/>
    <w:rsid w:val="009E6312"/>
    <w:rsid w:val="009E6498"/>
    <w:rsid w:val="009E7201"/>
    <w:rsid w:val="009F0B33"/>
    <w:rsid w:val="009F0D4F"/>
    <w:rsid w:val="009F17AC"/>
    <w:rsid w:val="009F1A86"/>
    <w:rsid w:val="009F2341"/>
    <w:rsid w:val="009F398C"/>
    <w:rsid w:val="009F3F49"/>
    <w:rsid w:val="009F56A5"/>
    <w:rsid w:val="009F58E9"/>
    <w:rsid w:val="009F5DDB"/>
    <w:rsid w:val="009F5DE4"/>
    <w:rsid w:val="009F7D4C"/>
    <w:rsid w:val="00A00196"/>
    <w:rsid w:val="00A00576"/>
    <w:rsid w:val="00A00665"/>
    <w:rsid w:val="00A00A93"/>
    <w:rsid w:val="00A016C8"/>
    <w:rsid w:val="00A021D8"/>
    <w:rsid w:val="00A02547"/>
    <w:rsid w:val="00A02BA1"/>
    <w:rsid w:val="00A03739"/>
    <w:rsid w:val="00A0444A"/>
    <w:rsid w:val="00A04C95"/>
    <w:rsid w:val="00A05112"/>
    <w:rsid w:val="00A05B4D"/>
    <w:rsid w:val="00A065C5"/>
    <w:rsid w:val="00A06FE0"/>
    <w:rsid w:val="00A102D0"/>
    <w:rsid w:val="00A106A6"/>
    <w:rsid w:val="00A11326"/>
    <w:rsid w:val="00A11762"/>
    <w:rsid w:val="00A1191C"/>
    <w:rsid w:val="00A11F4D"/>
    <w:rsid w:val="00A12BAC"/>
    <w:rsid w:val="00A137F1"/>
    <w:rsid w:val="00A14508"/>
    <w:rsid w:val="00A15230"/>
    <w:rsid w:val="00A158AD"/>
    <w:rsid w:val="00A17DA3"/>
    <w:rsid w:val="00A208FB"/>
    <w:rsid w:val="00A20A70"/>
    <w:rsid w:val="00A20A90"/>
    <w:rsid w:val="00A21239"/>
    <w:rsid w:val="00A247B0"/>
    <w:rsid w:val="00A25AD5"/>
    <w:rsid w:val="00A26C14"/>
    <w:rsid w:val="00A27191"/>
    <w:rsid w:val="00A27CE3"/>
    <w:rsid w:val="00A3071C"/>
    <w:rsid w:val="00A30C59"/>
    <w:rsid w:val="00A31205"/>
    <w:rsid w:val="00A31781"/>
    <w:rsid w:val="00A319B7"/>
    <w:rsid w:val="00A31B34"/>
    <w:rsid w:val="00A31E28"/>
    <w:rsid w:val="00A32730"/>
    <w:rsid w:val="00A334A4"/>
    <w:rsid w:val="00A34415"/>
    <w:rsid w:val="00A34693"/>
    <w:rsid w:val="00A34CA4"/>
    <w:rsid w:val="00A3571E"/>
    <w:rsid w:val="00A35728"/>
    <w:rsid w:val="00A36D11"/>
    <w:rsid w:val="00A407FB"/>
    <w:rsid w:val="00A41E28"/>
    <w:rsid w:val="00A43CF1"/>
    <w:rsid w:val="00A453C2"/>
    <w:rsid w:val="00A45B78"/>
    <w:rsid w:val="00A45E81"/>
    <w:rsid w:val="00A4600D"/>
    <w:rsid w:val="00A51CED"/>
    <w:rsid w:val="00A528D4"/>
    <w:rsid w:val="00A53F23"/>
    <w:rsid w:val="00A55149"/>
    <w:rsid w:val="00A55434"/>
    <w:rsid w:val="00A5618A"/>
    <w:rsid w:val="00A56869"/>
    <w:rsid w:val="00A56D31"/>
    <w:rsid w:val="00A56E67"/>
    <w:rsid w:val="00A60466"/>
    <w:rsid w:val="00A622F0"/>
    <w:rsid w:val="00A63352"/>
    <w:rsid w:val="00A653C2"/>
    <w:rsid w:val="00A65EE8"/>
    <w:rsid w:val="00A67286"/>
    <w:rsid w:val="00A67C0D"/>
    <w:rsid w:val="00A67FB5"/>
    <w:rsid w:val="00A7003B"/>
    <w:rsid w:val="00A70432"/>
    <w:rsid w:val="00A7175F"/>
    <w:rsid w:val="00A733AF"/>
    <w:rsid w:val="00A736AF"/>
    <w:rsid w:val="00A73E2A"/>
    <w:rsid w:val="00A74170"/>
    <w:rsid w:val="00A750FE"/>
    <w:rsid w:val="00A76C16"/>
    <w:rsid w:val="00A77178"/>
    <w:rsid w:val="00A77F23"/>
    <w:rsid w:val="00A80CBA"/>
    <w:rsid w:val="00A811BF"/>
    <w:rsid w:val="00A81230"/>
    <w:rsid w:val="00A8129A"/>
    <w:rsid w:val="00A814E0"/>
    <w:rsid w:val="00A81976"/>
    <w:rsid w:val="00A84350"/>
    <w:rsid w:val="00A860BB"/>
    <w:rsid w:val="00A869EE"/>
    <w:rsid w:val="00A86F46"/>
    <w:rsid w:val="00A877D9"/>
    <w:rsid w:val="00A87B6C"/>
    <w:rsid w:val="00A87F86"/>
    <w:rsid w:val="00A90478"/>
    <w:rsid w:val="00A90B32"/>
    <w:rsid w:val="00A9230A"/>
    <w:rsid w:val="00A9279B"/>
    <w:rsid w:val="00A94CCF"/>
    <w:rsid w:val="00A94DCD"/>
    <w:rsid w:val="00A94FEE"/>
    <w:rsid w:val="00A9569B"/>
    <w:rsid w:val="00A959CF"/>
    <w:rsid w:val="00A95E79"/>
    <w:rsid w:val="00A96438"/>
    <w:rsid w:val="00A968D0"/>
    <w:rsid w:val="00A96A8D"/>
    <w:rsid w:val="00A96C9C"/>
    <w:rsid w:val="00A96EA3"/>
    <w:rsid w:val="00A97010"/>
    <w:rsid w:val="00A970E8"/>
    <w:rsid w:val="00AA1286"/>
    <w:rsid w:val="00AA3142"/>
    <w:rsid w:val="00AA3426"/>
    <w:rsid w:val="00AA4A36"/>
    <w:rsid w:val="00AA545A"/>
    <w:rsid w:val="00AA576C"/>
    <w:rsid w:val="00AA586C"/>
    <w:rsid w:val="00AA6318"/>
    <w:rsid w:val="00AA7F73"/>
    <w:rsid w:val="00AB1C48"/>
    <w:rsid w:val="00AB4CFC"/>
    <w:rsid w:val="00AB7138"/>
    <w:rsid w:val="00AC01A4"/>
    <w:rsid w:val="00AC2266"/>
    <w:rsid w:val="00AC2D36"/>
    <w:rsid w:val="00AC30D1"/>
    <w:rsid w:val="00AC3729"/>
    <w:rsid w:val="00AC567D"/>
    <w:rsid w:val="00AC5D23"/>
    <w:rsid w:val="00AC612B"/>
    <w:rsid w:val="00AC64CD"/>
    <w:rsid w:val="00AC668F"/>
    <w:rsid w:val="00AC7136"/>
    <w:rsid w:val="00AC7CBD"/>
    <w:rsid w:val="00AD0D2D"/>
    <w:rsid w:val="00AD27EE"/>
    <w:rsid w:val="00AD3882"/>
    <w:rsid w:val="00AD38D9"/>
    <w:rsid w:val="00AD436D"/>
    <w:rsid w:val="00AD49C1"/>
    <w:rsid w:val="00AD5D1E"/>
    <w:rsid w:val="00AD6CC9"/>
    <w:rsid w:val="00AD7B6C"/>
    <w:rsid w:val="00AE0AA9"/>
    <w:rsid w:val="00AE2845"/>
    <w:rsid w:val="00AE4248"/>
    <w:rsid w:val="00AE4352"/>
    <w:rsid w:val="00AE490B"/>
    <w:rsid w:val="00AE598A"/>
    <w:rsid w:val="00AE5F83"/>
    <w:rsid w:val="00AE5FAB"/>
    <w:rsid w:val="00AE6208"/>
    <w:rsid w:val="00AF0822"/>
    <w:rsid w:val="00AF121A"/>
    <w:rsid w:val="00AF1CCF"/>
    <w:rsid w:val="00AF1DD2"/>
    <w:rsid w:val="00AF2A8B"/>
    <w:rsid w:val="00AF3B7C"/>
    <w:rsid w:val="00AF3E8E"/>
    <w:rsid w:val="00AF4E1E"/>
    <w:rsid w:val="00AF5D0D"/>
    <w:rsid w:val="00AF7BCB"/>
    <w:rsid w:val="00AF7CC1"/>
    <w:rsid w:val="00AF7FC7"/>
    <w:rsid w:val="00B009D3"/>
    <w:rsid w:val="00B01692"/>
    <w:rsid w:val="00B01DA6"/>
    <w:rsid w:val="00B02FF2"/>
    <w:rsid w:val="00B0384F"/>
    <w:rsid w:val="00B04230"/>
    <w:rsid w:val="00B04CF2"/>
    <w:rsid w:val="00B07188"/>
    <w:rsid w:val="00B1296F"/>
    <w:rsid w:val="00B12A21"/>
    <w:rsid w:val="00B12F05"/>
    <w:rsid w:val="00B13536"/>
    <w:rsid w:val="00B135B7"/>
    <w:rsid w:val="00B13617"/>
    <w:rsid w:val="00B146D7"/>
    <w:rsid w:val="00B1535C"/>
    <w:rsid w:val="00B154F0"/>
    <w:rsid w:val="00B21BC6"/>
    <w:rsid w:val="00B2269C"/>
    <w:rsid w:val="00B24001"/>
    <w:rsid w:val="00B25675"/>
    <w:rsid w:val="00B26DC0"/>
    <w:rsid w:val="00B26E7D"/>
    <w:rsid w:val="00B27494"/>
    <w:rsid w:val="00B27FB0"/>
    <w:rsid w:val="00B3168A"/>
    <w:rsid w:val="00B31D4F"/>
    <w:rsid w:val="00B320A2"/>
    <w:rsid w:val="00B321C4"/>
    <w:rsid w:val="00B3275F"/>
    <w:rsid w:val="00B33175"/>
    <w:rsid w:val="00B33EE0"/>
    <w:rsid w:val="00B35174"/>
    <w:rsid w:val="00B3542A"/>
    <w:rsid w:val="00B36E3B"/>
    <w:rsid w:val="00B3738D"/>
    <w:rsid w:val="00B3784E"/>
    <w:rsid w:val="00B4065F"/>
    <w:rsid w:val="00B40934"/>
    <w:rsid w:val="00B40E9A"/>
    <w:rsid w:val="00B4272B"/>
    <w:rsid w:val="00B42926"/>
    <w:rsid w:val="00B44F92"/>
    <w:rsid w:val="00B452E1"/>
    <w:rsid w:val="00B453F3"/>
    <w:rsid w:val="00B45A5D"/>
    <w:rsid w:val="00B46567"/>
    <w:rsid w:val="00B50BC7"/>
    <w:rsid w:val="00B50FC2"/>
    <w:rsid w:val="00B52897"/>
    <w:rsid w:val="00B52A73"/>
    <w:rsid w:val="00B53074"/>
    <w:rsid w:val="00B53325"/>
    <w:rsid w:val="00B53DEE"/>
    <w:rsid w:val="00B53F25"/>
    <w:rsid w:val="00B544C9"/>
    <w:rsid w:val="00B55E1B"/>
    <w:rsid w:val="00B56186"/>
    <w:rsid w:val="00B567B8"/>
    <w:rsid w:val="00B56C0E"/>
    <w:rsid w:val="00B56D8D"/>
    <w:rsid w:val="00B57845"/>
    <w:rsid w:val="00B60D32"/>
    <w:rsid w:val="00B60F59"/>
    <w:rsid w:val="00B61590"/>
    <w:rsid w:val="00B625EC"/>
    <w:rsid w:val="00B62DC8"/>
    <w:rsid w:val="00B63298"/>
    <w:rsid w:val="00B66305"/>
    <w:rsid w:val="00B6686B"/>
    <w:rsid w:val="00B66888"/>
    <w:rsid w:val="00B67174"/>
    <w:rsid w:val="00B67DC8"/>
    <w:rsid w:val="00B7057A"/>
    <w:rsid w:val="00B71207"/>
    <w:rsid w:val="00B733B1"/>
    <w:rsid w:val="00B74059"/>
    <w:rsid w:val="00B7439B"/>
    <w:rsid w:val="00B76559"/>
    <w:rsid w:val="00B76F58"/>
    <w:rsid w:val="00B76FFF"/>
    <w:rsid w:val="00B778E0"/>
    <w:rsid w:val="00B77BAE"/>
    <w:rsid w:val="00B80933"/>
    <w:rsid w:val="00B80A9B"/>
    <w:rsid w:val="00B81161"/>
    <w:rsid w:val="00B834B6"/>
    <w:rsid w:val="00B83587"/>
    <w:rsid w:val="00B838ED"/>
    <w:rsid w:val="00B846C5"/>
    <w:rsid w:val="00B85E3C"/>
    <w:rsid w:val="00B85E89"/>
    <w:rsid w:val="00B86118"/>
    <w:rsid w:val="00B8689A"/>
    <w:rsid w:val="00B86E95"/>
    <w:rsid w:val="00B87903"/>
    <w:rsid w:val="00B904B0"/>
    <w:rsid w:val="00B917B3"/>
    <w:rsid w:val="00B91DAB"/>
    <w:rsid w:val="00B93C21"/>
    <w:rsid w:val="00B944E9"/>
    <w:rsid w:val="00B969AB"/>
    <w:rsid w:val="00B97F31"/>
    <w:rsid w:val="00BA05C2"/>
    <w:rsid w:val="00BA07A2"/>
    <w:rsid w:val="00BA1C93"/>
    <w:rsid w:val="00BA1CFD"/>
    <w:rsid w:val="00BA1EFD"/>
    <w:rsid w:val="00BA25BA"/>
    <w:rsid w:val="00BA293C"/>
    <w:rsid w:val="00BA32EA"/>
    <w:rsid w:val="00BA35F0"/>
    <w:rsid w:val="00BA4466"/>
    <w:rsid w:val="00BA619F"/>
    <w:rsid w:val="00BA653E"/>
    <w:rsid w:val="00BB06BC"/>
    <w:rsid w:val="00BB114E"/>
    <w:rsid w:val="00BB24E7"/>
    <w:rsid w:val="00BB350E"/>
    <w:rsid w:val="00BB4AD3"/>
    <w:rsid w:val="00BB5684"/>
    <w:rsid w:val="00BB64D0"/>
    <w:rsid w:val="00BB66F5"/>
    <w:rsid w:val="00BB6BCA"/>
    <w:rsid w:val="00BB738F"/>
    <w:rsid w:val="00BB7CB7"/>
    <w:rsid w:val="00BC069C"/>
    <w:rsid w:val="00BC0F31"/>
    <w:rsid w:val="00BC122B"/>
    <w:rsid w:val="00BC18C8"/>
    <w:rsid w:val="00BC18F9"/>
    <w:rsid w:val="00BC1ADB"/>
    <w:rsid w:val="00BC4796"/>
    <w:rsid w:val="00BC69D5"/>
    <w:rsid w:val="00BC6A06"/>
    <w:rsid w:val="00BC6D55"/>
    <w:rsid w:val="00BC7A18"/>
    <w:rsid w:val="00BC7C43"/>
    <w:rsid w:val="00BD0683"/>
    <w:rsid w:val="00BD24C7"/>
    <w:rsid w:val="00BD2F9F"/>
    <w:rsid w:val="00BD3064"/>
    <w:rsid w:val="00BD36BA"/>
    <w:rsid w:val="00BD5D05"/>
    <w:rsid w:val="00BD5D5C"/>
    <w:rsid w:val="00BD7095"/>
    <w:rsid w:val="00BD742D"/>
    <w:rsid w:val="00BD74D1"/>
    <w:rsid w:val="00BD7905"/>
    <w:rsid w:val="00BE0307"/>
    <w:rsid w:val="00BE0869"/>
    <w:rsid w:val="00BE3C8B"/>
    <w:rsid w:val="00BE48FB"/>
    <w:rsid w:val="00BE4E8C"/>
    <w:rsid w:val="00BE507C"/>
    <w:rsid w:val="00BE56C2"/>
    <w:rsid w:val="00BE63B7"/>
    <w:rsid w:val="00BE6FEF"/>
    <w:rsid w:val="00BF1863"/>
    <w:rsid w:val="00BF1B12"/>
    <w:rsid w:val="00BF278E"/>
    <w:rsid w:val="00BF2B0A"/>
    <w:rsid w:val="00BF40DD"/>
    <w:rsid w:val="00BF4F88"/>
    <w:rsid w:val="00BF60CC"/>
    <w:rsid w:val="00BF68C6"/>
    <w:rsid w:val="00BF716D"/>
    <w:rsid w:val="00BF7365"/>
    <w:rsid w:val="00BF7DEE"/>
    <w:rsid w:val="00C008DA"/>
    <w:rsid w:val="00C00902"/>
    <w:rsid w:val="00C01E49"/>
    <w:rsid w:val="00C02D5A"/>
    <w:rsid w:val="00C03051"/>
    <w:rsid w:val="00C03451"/>
    <w:rsid w:val="00C0463E"/>
    <w:rsid w:val="00C05128"/>
    <w:rsid w:val="00C05203"/>
    <w:rsid w:val="00C05970"/>
    <w:rsid w:val="00C05CB5"/>
    <w:rsid w:val="00C05EF0"/>
    <w:rsid w:val="00C0797B"/>
    <w:rsid w:val="00C116D1"/>
    <w:rsid w:val="00C11724"/>
    <w:rsid w:val="00C12F44"/>
    <w:rsid w:val="00C13475"/>
    <w:rsid w:val="00C13D43"/>
    <w:rsid w:val="00C14225"/>
    <w:rsid w:val="00C144BC"/>
    <w:rsid w:val="00C149C0"/>
    <w:rsid w:val="00C1541B"/>
    <w:rsid w:val="00C1556E"/>
    <w:rsid w:val="00C158CB"/>
    <w:rsid w:val="00C16F93"/>
    <w:rsid w:val="00C16FE7"/>
    <w:rsid w:val="00C170F9"/>
    <w:rsid w:val="00C20777"/>
    <w:rsid w:val="00C20DEC"/>
    <w:rsid w:val="00C21AB1"/>
    <w:rsid w:val="00C25472"/>
    <w:rsid w:val="00C264C9"/>
    <w:rsid w:val="00C26A58"/>
    <w:rsid w:val="00C26FA9"/>
    <w:rsid w:val="00C30E0A"/>
    <w:rsid w:val="00C31254"/>
    <w:rsid w:val="00C317F0"/>
    <w:rsid w:val="00C33129"/>
    <w:rsid w:val="00C33528"/>
    <w:rsid w:val="00C33D99"/>
    <w:rsid w:val="00C341B0"/>
    <w:rsid w:val="00C344E5"/>
    <w:rsid w:val="00C34F36"/>
    <w:rsid w:val="00C36255"/>
    <w:rsid w:val="00C36338"/>
    <w:rsid w:val="00C3683B"/>
    <w:rsid w:val="00C375B9"/>
    <w:rsid w:val="00C41841"/>
    <w:rsid w:val="00C41915"/>
    <w:rsid w:val="00C41AEC"/>
    <w:rsid w:val="00C41B97"/>
    <w:rsid w:val="00C43748"/>
    <w:rsid w:val="00C45B38"/>
    <w:rsid w:val="00C45E8F"/>
    <w:rsid w:val="00C46026"/>
    <w:rsid w:val="00C47D11"/>
    <w:rsid w:val="00C50573"/>
    <w:rsid w:val="00C50649"/>
    <w:rsid w:val="00C51166"/>
    <w:rsid w:val="00C51B85"/>
    <w:rsid w:val="00C530EF"/>
    <w:rsid w:val="00C533AF"/>
    <w:rsid w:val="00C53C71"/>
    <w:rsid w:val="00C54245"/>
    <w:rsid w:val="00C5697D"/>
    <w:rsid w:val="00C56ECA"/>
    <w:rsid w:val="00C5782A"/>
    <w:rsid w:val="00C57EEA"/>
    <w:rsid w:val="00C61180"/>
    <w:rsid w:val="00C61536"/>
    <w:rsid w:val="00C61869"/>
    <w:rsid w:val="00C61B3C"/>
    <w:rsid w:val="00C62BCA"/>
    <w:rsid w:val="00C62C8D"/>
    <w:rsid w:val="00C63774"/>
    <w:rsid w:val="00C63A21"/>
    <w:rsid w:val="00C63B1F"/>
    <w:rsid w:val="00C63C77"/>
    <w:rsid w:val="00C647D0"/>
    <w:rsid w:val="00C64B0D"/>
    <w:rsid w:val="00C64BCA"/>
    <w:rsid w:val="00C64F06"/>
    <w:rsid w:val="00C6653B"/>
    <w:rsid w:val="00C66E59"/>
    <w:rsid w:val="00C6778A"/>
    <w:rsid w:val="00C677C9"/>
    <w:rsid w:val="00C701B6"/>
    <w:rsid w:val="00C7072C"/>
    <w:rsid w:val="00C70970"/>
    <w:rsid w:val="00C719B1"/>
    <w:rsid w:val="00C71C10"/>
    <w:rsid w:val="00C72316"/>
    <w:rsid w:val="00C72E47"/>
    <w:rsid w:val="00C73059"/>
    <w:rsid w:val="00C732DC"/>
    <w:rsid w:val="00C7558D"/>
    <w:rsid w:val="00C756F9"/>
    <w:rsid w:val="00C75852"/>
    <w:rsid w:val="00C762F6"/>
    <w:rsid w:val="00C776D7"/>
    <w:rsid w:val="00C77F3A"/>
    <w:rsid w:val="00C811C6"/>
    <w:rsid w:val="00C81271"/>
    <w:rsid w:val="00C816A5"/>
    <w:rsid w:val="00C8401E"/>
    <w:rsid w:val="00C8526F"/>
    <w:rsid w:val="00C8528B"/>
    <w:rsid w:val="00C872D1"/>
    <w:rsid w:val="00C87768"/>
    <w:rsid w:val="00C878B1"/>
    <w:rsid w:val="00C90175"/>
    <w:rsid w:val="00C909B6"/>
    <w:rsid w:val="00C911E8"/>
    <w:rsid w:val="00C9179B"/>
    <w:rsid w:val="00C91F64"/>
    <w:rsid w:val="00C92955"/>
    <w:rsid w:val="00C92A17"/>
    <w:rsid w:val="00C92E5C"/>
    <w:rsid w:val="00C931CB"/>
    <w:rsid w:val="00C939FF"/>
    <w:rsid w:val="00C93B67"/>
    <w:rsid w:val="00C94354"/>
    <w:rsid w:val="00C94E85"/>
    <w:rsid w:val="00C95AC5"/>
    <w:rsid w:val="00CA0764"/>
    <w:rsid w:val="00CA2F5A"/>
    <w:rsid w:val="00CA3993"/>
    <w:rsid w:val="00CA3B0D"/>
    <w:rsid w:val="00CA53B6"/>
    <w:rsid w:val="00CA56C3"/>
    <w:rsid w:val="00CA68A2"/>
    <w:rsid w:val="00CA68A6"/>
    <w:rsid w:val="00CA6DE1"/>
    <w:rsid w:val="00CA702B"/>
    <w:rsid w:val="00CA702D"/>
    <w:rsid w:val="00CA74D6"/>
    <w:rsid w:val="00CA774B"/>
    <w:rsid w:val="00CA7F49"/>
    <w:rsid w:val="00CB2CFC"/>
    <w:rsid w:val="00CB3D2B"/>
    <w:rsid w:val="00CB3DEF"/>
    <w:rsid w:val="00CB3FF2"/>
    <w:rsid w:val="00CB4036"/>
    <w:rsid w:val="00CB41ED"/>
    <w:rsid w:val="00CB45C6"/>
    <w:rsid w:val="00CB7395"/>
    <w:rsid w:val="00CB7865"/>
    <w:rsid w:val="00CB7A83"/>
    <w:rsid w:val="00CC242C"/>
    <w:rsid w:val="00CC2BC9"/>
    <w:rsid w:val="00CC34C1"/>
    <w:rsid w:val="00CC35DE"/>
    <w:rsid w:val="00CC535F"/>
    <w:rsid w:val="00CC54ED"/>
    <w:rsid w:val="00CC6AC9"/>
    <w:rsid w:val="00CC6D7D"/>
    <w:rsid w:val="00CD0A48"/>
    <w:rsid w:val="00CD0CE1"/>
    <w:rsid w:val="00CD28A7"/>
    <w:rsid w:val="00CD2A24"/>
    <w:rsid w:val="00CD2E73"/>
    <w:rsid w:val="00CD3F55"/>
    <w:rsid w:val="00CE03CC"/>
    <w:rsid w:val="00CE0895"/>
    <w:rsid w:val="00CE12C1"/>
    <w:rsid w:val="00CE1E14"/>
    <w:rsid w:val="00CE1EF3"/>
    <w:rsid w:val="00CE2222"/>
    <w:rsid w:val="00CE2ACA"/>
    <w:rsid w:val="00CE2EFF"/>
    <w:rsid w:val="00CE3543"/>
    <w:rsid w:val="00CE3D0E"/>
    <w:rsid w:val="00CE45B4"/>
    <w:rsid w:val="00CE5906"/>
    <w:rsid w:val="00CE653B"/>
    <w:rsid w:val="00CE68DC"/>
    <w:rsid w:val="00CE7AE5"/>
    <w:rsid w:val="00CF0B98"/>
    <w:rsid w:val="00CF1EB5"/>
    <w:rsid w:val="00CF2616"/>
    <w:rsid w:val="00CF2C85"/>
    <w:rsid w:val="00CF3522"/>
    <w:rsid w:val="00CF60E9"/>
    <w:rsid w:val="00CF6597"/>
    <w:rsid w:val="00CF66E8"/>
    <w:rsid w:val="00CF7160"/>
    <w:rsid w:val="00CF784B"/>
    <w:rsid w:val="00D0131B"/>
    <w:rsid w:val="00D013D4"/>
    <w:rsid w:val="00D017F9"/>
    <w:rsid w:val="00D01975"/>
    <w:rsid w:val="00D02CCA"/>
    <w:rsid w:val="00D0304F"/>
    <w:rsid w:val="00D03DFD"/>
    <w:rsid w:val="00D04D8A"/>
    <w:rsid w:val="00D05E55"/>
    <w:rsid w:val="00D061BC"/>
    <w:rsid w:val="00D06CCA"/>
    <w:rsid w:val="00D0734C"/>
    <w:rsid w:val="00D10658"/>
    <w:rsid w:val="00D106B1"/>
    <w:rsid w:val="00D12134"/>
    <w:rsid w:val="00D135CD"/>
    <w:rsid w:val="00D13C2F"/>
    <w:rsid w:val="00D13F9D"/>
    <w:rsid w:val="00D14103"/>
    <w:rsid w:val="00D14DF9"/>
    <w:rsid w:val="00D150DC"/>
    <w:rsid w:val="00D15932"/>
    <w:rsid w:val="00D15A57"/>
    <w:rsid w:val="00D20A6E"/>
    <w:rsid w:val="00D223DD"/>
    <w:rsid w:val="00D23381"/>
    <w:rsid w:val="00D23ABA"/>
    <w:rsid w:val="00D24263"/>
    <w:rsid w:val="00D247EE"/>
    <w:rsid w:val="00D24988"/>
    <w:rsid w:val="00D24F0E"/>
    <w:rsid w:val="00D302FC"/>
    <w:rsid w:val="00D30F78"/>
    <w:rsid w:val="00D30FE5"/>
    <w:rsid w:val="00D314D8"/>
    <w:rsid w:val="00D32510"/>
    <w:rsid w:val="00D33383"/>
    <w:rsid w:val="00D3343A"/>
    <w:rsid w:val="00D34220"/>
    <w:rsid w:val="00D34325"/>
    <w:rsid w:val="00D34731"/>
    <w:rsid w:val="00D359E3"/>
    <w:rsid w:val="00D35C9F"/>
    <w:rsid w:val="00D3666E"/>
    <w:rsid w:val="00D36AA3"/>
    <w:rsid w:val="00D36E03"/>
    <w:rsid w:val="00D401DC"/>
    <w:rsid w:val="00D42EBC"/>
    <w:rsid w:val="00D42F47"/>
    <w:rsid w:val="00D44304"/>
    <w:rsid w:val="00D44F74"/>
    <w:rsid w:val="00D44F89"/>
    <w:rsid w:val="00D453FE"/>
    <w:rsid w:val="00D45C8F"/>
    <w:rsid w:val="00D46BB8"/>
    <w:rsid w:val="00D4749D"/>
    <w:rsid w:val="00D47694"/>
    <w:rsid w:val="00D478E6"/>
    <w:rsid w:val="00D47F46"/>
    <w:rsid w:val="00D50B9D"/>
    <w:rsid w:val="00D50DA9"/>
    <w:rsid w:val="00D50E73"/>
    <w:rsid w:val="00D52F25"/>
    <w:rsid w:val="00D54A9D"/>
    <w:rsid w:val="00D55AF0"/>
    <w:rsid w:val="00D55C0A"/>
    <w:rsid w:val="00D5789E"/>
    <w:rsid w:val="00D57EF4"/>
    <w:rsid w:val="00D6128C"/>
    <w:rsid w:val="00D615E9"/>
    <w:rsid w:val="00D62493"/>
    <w:rsid w:val="00D62FD1"/>
    <w:rsid w:val="00D631C7"/>
    <w:rsid w:val="00D64577"/>
    <w:rsid w:val="00D64CF9"/>
    <w:rsid w:val="00D64FCE"/>
    <w:rsid w:val="00D6540C"/>
    <w:rsid w:val="00D66C8B"/>
    <w:rsid w:val="00D67ED9"/>
    <w:rsid w:val="00D70FB0"/>
    <w:rsid w:val="00D723AC"/>
    <w:rsid w:val="00D7257E"/>
    <w:rsid w:val="00D7324E"/>
    <w:rsid w:val="00D736D2"/>
    <w:rsid w:val="00D744EA"/>
    <w:rsid w:val="00D75B08"/>
    <w:rsid w:val="00D75FF1"/>
    <w:rsid w:val="00D765F0"/>
    <w:rsid w:val="00D77BCB"/>
    <w:rsid w:val="00D80B54"/>
    <w:rsid w:val="00D826DF"/>
    <w:rsid w:val="00D83588"/>
    <w:rsid w:val="00D83DCF"/>
    <w:rsid w:val="00D857A8"/>
    <w:rsid w:val="00D86207"/>
    <w:rsid w:val="00D87396"/>
    <w:rsid w:val="00D87437"/>
    <w:rsid w:val="00D87DFB"/>
    <w:rsid w:val="00D918A1"/>
    <w:rsid w:val="00D9261B"/>
    <w:rsid w:val="00D92E0C"/>
    <w:rsid w:val="00D937BB"/>
    <w:rsid w:val="00D93D99"/>
    <w:rsid w:val="00D9401F"/>
    <w:rsid w:val="00D943B0"/>
    <w:rsid w:val="00D94C86"/>
    <w:rsid w:val="00D95864"/>
    <w:rsid w:val="00D95D70"/>
    <w:rsid w:val="00D95F9B"/>
    <w:rsid w:val="00D96372"/>
    <w:rsid w:val="00D96643"/>
    <w:rsid w:val="00D968B1"/>
    <w:rsid w:val="00D96D59"/>
    <w:rsid w:val="00D96D7F"/>
    <w:rsid w:val="00D978BD"/>
    <w:rsid w:val="00DA037A"/>
    <w:rsid w:val="00DA0435"/>
    <w:rsid w:val="00DA0512"/>
    <w:rsid w:val="00DA1672"/>
    <w:rsid w:val="00DA4427"/>
    <w:rsid w:val="00DA6608"/>
    <w:rsid w:val="00DA6BC4"/>
    <w:rsid w:val="00DB12CF"/>
    <w:rsid w:val="00DB1D92"/>
    <w:rsid w:val="00DB26FF"/>
    <w:rsid w:val="00DB2B60"/>
    <w:rsid w:val="00DB2D21"/>
    <w:rsid w:val="00DB2DE7"/>
    <w:rsid w:val="00DB45C3"/>
    <w:rsid w:val="00DB4917"/>
    <w:rsid w:val="00DB525D"/>
    <w:rsid w:val="00DB7506"/>
    <w:rsid w:val="00DC0BD3"/>
    <w:rsid w:val="00DC0D9A"/>
    <w:rsid w:val="00DC0EE7"/>
    <w:rsid w:val="00DC50E8"/>
    <w:rsid w:val="00DC5F6A"/>
    <w:rsid w:val="00DC704E"/>
    <w:rsid w:val="00DD02D5"/>
    <w:rsid w:val="00DD0571"/>
    <w:rsid w:val="00DD0E32"/>
    <w:rsid w:val="00DD0FE5"/>
    <w:rsid w:val="00DD1107"/>
    <w:rsid w:val="00DD1A5E"/>
    <w:rsid w:val="00DD32CD"/>
    <w:rsid w:val="00DD39EF"/>
    <w:rsid w:val="00DD41A9"/>
    <w:rsid w:val="00DD456F"/>
    <w:rsid w:val="00DD4DE1"/>
    <w:rsid w:val="00DD54AD"/>
    <w:rsid w:val="00DD6230"/>
    <w:rsid w:val="00DD6B96"/>
    <w:rsid w:val="00DD7F6B"/>
    <w:rsid w:val="00DE06CB"/>
    <w:rsid w:val="00DE55E4"/>
    <w:rsid w:val="00DE5E1B"/>
    <w:rsid w:val="00DE6CCE"/>
    <w:rsid w:val="00DF228B"/>
    <w:rsid w:val="00DF2DC8"/>
    <w:rsid w:val="00DF33B2"/>
    <w:rsid w:val="00DF4D97"/>
    <w:rsid w:val="00DF5685"/>
    <w:rsid w:val="00DF6BD2"/>
    <w:rsid w:val="00DF6E39"/>
    <w:rsid w:val="00DF794F"/>
    <w:rsid w:val="00DF7B71"/>
    <w:rsid w:val="00E0022B"/>
    <w:rsid w:val="00E006A1"/>
    <w:rsid w:val="00E00EC3"/>
    <w:rsid w:val="00E029C7"/>
    <w:rsid w:val="00E039CC"/>
    <w:rsid w:val="00E03CA3"/>
    <w:rsid w:val="00E0446A"/>
    <w:rsid w:val="00E0470A"/>
    <w:rsid w:val="00E04FAB"/>
    <w:rsid w:val="00E05875"/>
    <w:rsid w:val="00E069EE"/>
    <w:rsid w:val="00E06D39"/>
    <w:rsid w:val="00E07048"/>
    <w:rsid w:val="00E07DE7"/>
    <w:rsid w:val="00E10379"/>
    <w:rsid w:val="00E108A5"/>
    <w:rsid w:val="00E10D54"/>
    <w:rsid w:val="00E114A5"/>
    <w:rsid w:val="00E11A06"/>
    <w:rsid w:val="00E12B1A"/>
    <w:rsid w:val="00E130EB"/>
    <w:rsid w:val="00E14EC3"/>
    <w:rsid w:val="00E14FB8"/>
    <w:rsid w:val="00E16A18"/>
    <w:rsid w:val="00E17ADC"/>
    <w:rsid w:val="00E202FA"/>
    <w:rsid w:val="00E20614"/>
    <w:rsid w:val="00E20DD5"/>
    <w:rsid w:val="00E2198D"/>
    <w:rsid w:val="00E21DCD"/>
    <w:rsid w:val="00E2215C"/>
    <w:rsid w:val="00E22965"/>
    <w:rsid w:val="00E2398D"/>
    <w:rsid w:val="00E2611C"/>
    <w:rsid w:val="00E26565"/>
    <w:rsid w:val="00E26A74"/>
    <w:rsid w:val="00E26B10"/>
    <w:rsid w:val="00E26DE3"/>
    <w:rsid w:val="00E26E99"/>
    <w:rsid w:val="00E27E8B"/>
    <w:rsid w:val="00E303C1"/>
    <w:rsid w:val="00E30825"/>
    <w:rsid w:val="00E30C9A"/>
    <w:rsid w:val="00E310E8"/>
    <w:rsid w:val="00E31A6F"/>
    <w:rsid w:val="00E31FE8"/>
    <w:rsid w:val="00E33428"/>
    <w:rsid w:val="00E34611"/>
    <w:rsid w:val="00E34BFC"/>
    <w:rsid w:val="00E35752"/>
    <w:rsid w:val="00E35855"/>
    <w:rsid w:val="00E35BCA"/>
    <w:rsid w:val="00E367A8"/>
    <w:rsid w:val="00E403B0"/>
    <w:rsid w:val="00E42BE5"/>
    <w:rsid w:val="00E44BB0"/>
    <w:rsid w:val="00E45033"/>
    <w:rsid w:val="00E45FCA"/>
    <w:rsid w:val="00E46C2A"/>
    <w:rsid w:val="00E47A60"/>
    <w:rsid w:val="00E47CD0"/>
    <w:rsid w:val="00E5080D"/>
    <w:rsid w:val="00E51CC9"/>
    <w:rsid w:val="00E5276C"/>
    <w:rsid w:val="00E533E5"/>
    <w:rsid w:val="00E53E5C"/>
    <w:rsid w:val="00E54650"/>
    <w:rsid w:val="00E5497C"/>
    <w:rsid w:val="00E54F4B"/>
    <w:rsid w:val="00E551AC"/>
    <w:rsid w:val="00E5520E"/>
    <w:rsid w:val="00E558A9"/>
    <w:rsid w:val="00E56118"/>
    <w:rsid w:val="00E56608"/>
    <w:rsid w:val="00E567D4"/>
    <w:rsid w:val="00E56CDA"/>
    <w:rsid w:val="00E56D13"/>
    <w:rsid w:val="00E57246"/>
    <w:rsid w:val="00E574DB"/>
    <w:rsid w:val="00E57AC6"/>
    <w:rsid w:val="00E601E8"/>
    <w:rsid w:val="00E60FEE"/>
    <w:rsid w:val="00E617D8"/>
    <w:rsid w:val="00E63AA3"/>
    <w:rsid w:val="00E64A93"/>
    <w:rsid w:val="00E64E9A"/>
    <w:rsid w:val="00E64EA3"/>
    <w:rsid w:val="00E655DB"/>
    <w:rsid w:val="00E66330"/>
    <w:rsid w:val="00E675E4"/>
    <w:rsid w:val="00E67E06"/>
    <w:rsid w:val="00E70365"/>
    <w:rsid w:val="00E70C65"/>
    <w:rsid w:val="00E72924"/>
    <w:rsid w:val="00E72C48"/>
    <w:rsid w:val="00E738BA"/>
    <w:rsid w:val="00E73939"/>
    <w:rsid w:val="00E73BFA"/>
    <w:rsid w:val="00E73F01"/>
    <w:rsid w:val="00E74638"/>
    <w:rsid w:val="00E74A24"/>
    <w:rsid w:val="00E76893"/>
    <w:rsid w:val="00E76B92"/>
    <w:rsid w:val="00E76DEE"/>
    <w:rsid w:val="00E77428"/>
    <w:rsid w:val="00E806ED"/>
    <w:rsid w:val="00E80CD2"/>
    <w:rsid w:val="00E8148D"/>
    <w:rsid w:val="00E8179E"/>
    <w:rsid w:val="00E81B84"/>
    <w:rsid w:val="00E835C8"/>
    <w:rsid w:val="00E86649"/>
    <w:rsid w:val="00E87F2C"/>
    <w:rsid w:val="00E9022C"/>
    <w:rsid w:val="00E90C56"/>
    <w:rsid w:val="00E91236"/>
    <w:rsid w:val="00E91AC2"/>
    <w:rsid w:val="00E9249F"/>
    <w:rsid w:val="00E93A29"/>
    <w:rsid w:val="00E940A6"/>
    <w:rsid w:val="00E944DF"/>
    <w:rsid w:val="00E9460C"/>
    <w:rsid w:val="00E95270"/>
    <w:rsid w:val="00E958BC"/>
    <w:rsid w:val="00E970B6"/>
    <w:rsid w:val="00EA030F"/>
    <w:rsid w:val="00EA1816"/>
    <w:rsid w:val="00EA19F1"/>
    <w:rsid w:val="00EA269F"/>
    <w:rsid w:val="00EA3C51"/>
    <w:rsid w:val="00EA3C97"/>
    <w:rsid w:val="00EA3F7E"/>
    <w:rsid w:val="00EA4D4A"/>
    <w:rsid w:val="00EA6295"/>
    <w:rsid w:val="00EA7C27"/>
    <w:rsid w:val="00EB23BC"/>
    <w:rsid w:val="00EB2E6E"/>
    <w:rsid w:val="00EB40C6"/>
    <w:rsid w:val="00EB505E"/>
    <w:rsid w:val="00EB5119"/>
    <w:rsid w:val="00EC0A93"/>
    <w:rsid w:val="00EC13A0"/>
    <w:rsid w:val="00EC1CEA"/>
    <w:rsid w:val="00EC24AE"/>
    <w:rsid w:val="00EC28BC"/>
    <w:rsid w:val="00EC2BDF"/>
    <w:rsid w:val="00EC3BDE"/>
    <w:rsid w:val="00EC522E"/>
    <w:rsid w:val="00EC587A"/>
    <w:rsid w:val="00EC58C4"/>
    <w:rsid w:val="00ED015C"/>
    <w:rsid w:val="00ED0CB0"/>
    <w:rsid w:val="00ED17C1"/>
    <w:rsid w:val="00ED1F3B"/>
    <w:rsid w:val="00ED3100"/>
    <w:rsid w:val="00ED4060"/>
    <w:rsid w:val="00ED4302"/>
    <w:rsid w:val="00ED5303"/>
    <w:rsid w:val="00EE0071"/>
    <w:rsid w:val="00EE0BF4"/>
    <w:rsid w:val="00EE1CEE"/>
    <w:rsid w:val="00EE2481"/>
    <w:rsid w:val="00EE24EE"/>
    <w:rsid w:val="00EE2E2D"/>
    <w:rsid w:val="00EE5908"/>
    <w:rsid w:val="00EE5CA7"/>
    <w:rsid w:val="00EE7E42"/>
    <w:rsid w:val="00EF16B9"/>
    <w:rsid w:val="00EF2828"/>
    <w:rsid w:val="00EF2DDD"/>
    <w:rsid w:val="00EF3AC8"/>
    <w:rsid w:val="00EF3E40"/>
    <w:rsid w:val="00EF41BC"/>
    <w:rsid w:val="00EF4856"/>
    <w:rsid w:val="00EF4976"/>
    <w:rsid w:val="00EF55BC"/>
    <w:rsid w:val="00EF5C5E"/>
    <w:rsid w:val="00F00D42"/>
    <w:rsid w:val="00F00EFF"/>
    <w:rsid w:val="00F046C9"/>
    <w:rsid w:val="00F055C0"/>
    <w:rsid w:val="00F05E96"/>
    <w:rsid w:val="00F06952"/>
    <w:rsid w:val="00F102EF"/>
    <w:rsid w:val="00F11D51"/>
    <w:rsid w:val="00F12287"/>
    <w:rsid w:val="00F12540"/>
    <w:rsid w:val="00F126D1"/>
    <w:rsid w:val="00F127F7"/>
    <w:rsid w:val="00F1297D"/>
    <w:rsid w:val="00F12F08"/>
    <w:rsid w:val="00F13388"/>
    <w:rsid w:val="00F13869"/>
    <w:rsid w:val="00F13A8F"/>
    <w:rsid w:val="00F149CF"/>
    <w:rsid w:val="00F14FD9"/>
    <w:rsid w:val="00F15602"/>
    <w:rsid w:val="00F16763"/>
    <w:rsid w:val="00F168CF"/>
    <w:rsid w:val="00F1704E"/>
    <w:rsid w:val="00F21268"/>
    <w:rsid w:val="00F21454"/>
    <w:rsid w:val="00F2150B"/>
    <w:rsid w:val="00F21A71"/>
    <w:rsid w:val="00F24D6F"/>
    <w:rsid w:val="00F24E02"/>
    <w:rsid w:val="00F26413"/>
    <w:rsid w:val="00F306AC"/>
    <w:rsid w:val="00F32392"/>
    <w:rsid w:val="00F323EC"/>
    <w:rsid w:val="00F32D98"/>
    <w:rsid w:val="00F346E0"/>
    <w:rsid w:val="00F363CD"/>
    <w:rsid w:val="00F375F2"/>
    <w:rsid w:val="00F37BC9"/>
    <w:rsid w:val="00F37CC4"/>
    <w:rsid w:val="00F40AE6"/>
    <w:rsid w:val="00F40EAE"/>
    <w:rsid w:val="00F42412"/>
    <w:rsid w:val="00F4336F"/>
    <w:rsid w:val="00F433A6"/>
    <w:rsid w:val="00F433E8"/>
    <w:rsid w:val="00F43588"/>
    <w:rsid w:val="00F4381C"/>
    <w:rsid w:val="00F43878"/>
    <w:rsid w:val="00F44168"/>
    <w:rsid w:val="00F452D4"/>
    <w:rsid w:val="00F4674C"/>
    <w:rsid w:val="00F46A85"/>
    <w:rsid w:val="00F46F4B"/>
    <w:rsid w:val="00F46FF5"/>
    <w:rsid w:val="00F479F4"/>
    <w:rsid w:val="00F5045E"/>
    <w:rsid w:val="00F5200B"/>
    <w:rsid w:val="00F55965"/>
    <w:rsid w:val="00F56763"/>
    <w:rsid w:val="00F57777"/>
    <w:rsid w:val="00F626D8"/>
    <w:rsid w:val="00F6347D"/>
    <w:rsid w:val="00F66111"/>
    <w:rsid w:val="00F665A5"/>
    <w:rsid w:val="00F67D38"/>
    <w:rsid w:val="00F7005B"/>
    <w:rsid w:val="00F7015F"/>
    <w:rsid w:val="00F70EFE"/>
    <w:rsid w:val="00F71C1A"/>
    <w:rsid w:val="00F71D51"/>
    <w:rsid w:val="00F72123"/>
    <w:rsid w:val="00F72798"/>
    <w:rsid w:val="00F738C0"/>
    <w:rsid w:val="00F75CEA"/>
    <w:rsid w:val="00F7631F"/>
    <w:rsid w:val="00F76C8D"/>
    <w:rsid w:val="00F76D45"/>
    <w:rsid w:val="00F776D7"/>
    <w:rsid w:val="00F802E9"/>
    <w:rsid w:val="00F80424"/>
    <w:rsid w:val="00F81819"/>
    <w:rsid w:val="00F82C14"/>
    <w:rsid w:val="00F83421"/>
    <w:rsid w:val="00F843A7"/>
    <w:rsid w:val="00F84897"/>
    <w:rsid w:val="00F857E2"/>
    <w:rsid w:val="00F85ACF"/>
    <w:rsid w:val="00F86414"/>
    <w:rsid w:val="00F907EA"/>
    <w:rsid w:val="00F90E4C"/>
    <w:rsid w:val="00F91474"/>
    <w:rsid w:val="00F917A0"/>
    <w:rsid w:val="00F91E53"/>
    <w:rsid w:val="00F9239D"/>
    <w:rsid w:val="00F92ADD"/>
    <w:rsid w:val="00F92EE5"/>
    <w:rsid w:val="00F936BE"/>
    <w:rsid w:val="00F94005"/>
    <w:rsid w:val="00F94F07"/>
    <w:rsid w:val="00F9552E"/>
    <w:rsid w:val="00F95B55"/>
    <w:rsid w:val="00F97590"/>
    <w:rsid w:val="00F97E48"/>
    <w:rsid w:val="00FA1387"/>
    <w:rsid w:val="00FA1ECB"/>
    <w:rsid w:val="00FA21A0"/>
    <w:rsid w:val="00FA3491"/>
    <w:rsid w:val="00FA47B2"/>
    <w:rsid w:val="00FA4E4B"/>
    <w:rsid w:val="00FA55D8"/>
    <w:rsid w:val="00FA57B9"/>
    <w:rsid w:val="00FA5BC3"/>
    <w:rsid w:val="00FA651D"/>
    <w:rsid w:val="00FB0A21"/>
    <w:rsid w:val="00FB0ACD"/>
    <w:rsid w:val="00FB0B82"/>
    <w:rsid w:val="00FB0E03"/>
    <w:rsid w:val="00FB1CBF"/>
    <w:rsid w:val="00FB2202"/>
    <w:rsid w:val="00FB2EB7"/>
    <w:rsid w:val="00FB3F60"/>
    <w:rsid w:val="00FB5C61"/>
    <w:rsid w:val="00FB64C4"/>
    <w:rsid w:val="00FB6773"/>
    <w:rsid w:val="00FB7F62"/>
    <w:rsid w:val="00FC0D88"/>
    <w:rsid w:val="00FC13BB"/>
    <w:rsid w:val="00FC3C34"/>
    <w:rsid w:val="00FC445D"/>
    <w:rsid w:val="00FC44C2"/>
    <w:rsid w:val="00FC4B2F"/>
    <w:rsid w:val="00FC7067"/>
    <w:rsid w:val="00FD0947"/>
    <w:rsid w:val="00FD0C6F"/>
    <w:rsid w:val="00FD1C4C"/>
    <w:rsid w:val="00FD2235"/>
    <w:rsid w:val="00FD397D"/>
    <w:rsid w:val="00FD39E1"/>
    <w:rsid w:val="00FD50AC"/>
    <w:rsid w:val="00FD5C74"/>
    <w:rsid w:val="00FD66C1"/>
    <w:rsid w:val="00FD794D"/>
    <w:rsid w:val="00FD7A88"/>
    <w:rsid w:val="00FE0006"/>
    <w:rsid w:val="00FE0A4F"/>
    <w:rsid w:val="00FE1C3C"/>
    <w:rsid w:val="00FE427E"/>
    <w:rsid w:val="00FE42E8"/>
    <w:rsid w:val="00FE512C"/>
    <w:rsid w:val="00FE58C6"/>
    <w:rsid w:val="00FE5C9F"/>
    <w:rsid w:val="00FF0658"/>
    <w:rsid w:val="00FF0EAC"/>
    <w:rsid w:val="00FF266B"/>
    <w:rsid w:val="00FF2EBA"/>
    <w:rsid w:val="00FF351D"/>
    <w:rsid w:val="00FF390B"/>
    <w:rsid w:val="00FF4982"/>
    <w:rsid w:val="00FF6965"/>
    <w:rsid w:val="00FF77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0C561FB-773F-4520-B7A6-510969DA4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8AC"/>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8F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1A41E7"/>
    <w:rPr>
      <w:strike w:val="0"/>
      <w:dstrike w:val="0"/>
      <w:color w:val="0000FF"/>
      <w:u w:val="none"/>
      <w:effect w:val="none"/>
    </w:rPr>
  </w:style>
  <w:style w:type="paragraph" w:styleId="Encabezado">
    <w:name w:val="header"/>
    <w:basedOn w:val="Normal"/>
    <w:link w:val="EncabezadoCar"/>
    <w:uiPriority w:val="99"/>
    <w:rsid w:val="000D240D"/>
    <w:pPr>
      <w:tabs>
        <w:tab w:val="center" w:pos="4252"/>
        <w:tab w:val="right" w:pos="8504"/>
      </w:tabs>
    </w:pPr>
  </w:style>
  <w:style w:type="paragraph" w:styleId="Piedepgina">
    <w:name w:val="footer"/>
    <w:basedOn w:val="Normal"/>
    <w:link w:val="PiedepginaCar"/>
    <w:uiPriority w:val="99"/>
    <w:rsid w:val="000D240D"/>
    <w:pPr>
      <w:tabs>
        <w:tab w:val="center" w:pos="4252"/>
        <w:tab w:val="right" w:pos="8504"/>
      </w:tabs>
    </w:pPr>
  </w:style>
  <w:style w:type="character" w:styleId="Nmerodepgina">
    <w:name w:val="page number"/>
    <w:basedOn w:val="Fuentedeprrafopredeter"/>
    <w:rsid w:val="000D240D"/>
  </w:style>
  <w:style w:type="paragraph" w:styleId="Textodeglobo">
    <w:name w:val="Balloon Text"/>
    <w:basedOn w:val="Normal"/>
    <w:link w:val="TextodegloboCar"/>
    <w:rsid w:val="00935666"/>
    <w:rPr>
      <w:rFonts w:ascii="Tahoma" w:hAnsi="Tahoma"/>
      <w:sz w:val="16"/>
      <w:szCs w:val="16"/>
    </w:rPr>
  </w:style>
  <w:style w:type="character" w:customStyle="1" w:styleId="TextodegloboCar">
    <w:name w:val="Texto de globo Car"/>
    <w:link w:val="Textodeglobo"/>
    <w:rsid w:val="00935666"/>
    <w:rPr>
      <w:rFonts w:ascii="Tahoma" w:hAnsi="Tahoma" w:cs="Tahoma"/>
      <w:sz w:val="16"/>
      <w:szCs w:val="16"/>
    </w:rPr>
  </w:style>
  <w:style w:type="paragraph" w:styleId="Prrafodelista">
    <w:name w:val="List Paragraph"/>
    <w:basedOn w:val="Normal"/>
    <w:uiPriority w:val="34"/>
    <w:qFormat/>
    <w:rsid w:val="002D45F1"/>
    <w:pPr>
      <w:ind w:left="720"/>
      <w:contextualSpacing/>
    </w:pPr>
  </w:style>
  <w:style w:type="paragraph" w:styleId="Textoindependiente">
    <w:name w:val="Body Text"/>
    <w:basedOn w:val="Normal"/>
    <w:link w:val="TextoindependienteCar"/>
    <w:rsid w:val="005D667A"/>
    <w:pPr>
      <w:jc w:val="center"/>
    </w:pPr>
    <w:rPr>
      <w:rFonts w:ascii="Tahoma" w:hAnsi="Tahoma"/>
      <w:sz w:val="96"/>
      <w:szCs w:val="52"/>
    </w:rPr>
  </w:style>
  <w:style w:type="character" w:customStyle="1" w:styleId="TextoindependienteCar">
    <w:name w:val="Texto independiente Car"/>
    <w:link w:val="Textoindependiente"/>
    <w:rsid w:val="005D667A"/>
    <w:rPr>
      <w:rFonts w:ascii="Tahoma" w:hAnsi="Tahoma" w:cs="Tahoma"/>
      <w:sz w:val="96"/>
      <w:szCs w:val="52"/>
    </w:rPr>
  </w:style>
  <w:style w:type="character" w:customStyle="1" w:styleId="PiedepginaCar">
    <w:name w:val="Pie de página Car"/>
    <w:link w:val="Piedepgina"/>
    <w:uiPriority w:val="99"/>
    <w:rsid w:val="00AE5FAB"/>
    <w:rPr>
      <w:sz w:val="24"/>
      <w:szCs w:val="24"/>
    </w:rPr>
  </w:style>
  <w:style w:type="paragraph" w:customStyle="1" w:styleId="F9E977197262459AB16AE09F8A4F0155">
    <w:name w:val="F9E977197262459AB16AE09F8A4F0155"/>
    <w:rsid w:val="009A6801"/>
    <w:pPr>
      <w:spacing w:after="200" w:line="276" w:lineRule="auto"/>
    </w:pPr>
    <w:rPr>
      <w:rFonts w:ascii="Calibri" w:hAnsi="Calibri"/>
      <w:sz w:val="22"/>
      <w:szCs w:val="22"/>
    </w:rPr>
  </w:style>
  <w:style w:type="table" w:customStyle="1" w:styleId="Sombreadoclaro-nfasis11">
    <w:name w:val="Sombreado claro - Énfasis 11"/>
    <w:basedOn w:val="Tablanormal"/>
    <w:uiPriority w:val="60"/>
    <w:rsid w:val="007A3992"/>
    <w:rPr>
      <w:rFonts w:ascii="Arial" w:hAnsi="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claro1">
    <w:name w:val="Sombreado claro1"/>
    <w:basedOn w:val="Tablanormal"/>
    <w:uiPriority w:val="60"/>
    <w:rsid w:val="00E66330"/>
    <w:rPr>
      <w:rFonts w:ascii="Arial" w:hAnsi="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cabezadoCar">
    <w:name w:val="Encabezado Car"/>
    <w:link w:val="Encabezado"/>
    <w:uiPriority w:val="99"/>
    <w:rsid w:val="00FE512C"/>
    <w:rPr>
      <w:sz w:val="24"/>
      <w:szCs w:val="24"/>
    </w:rPr>
  </w:style>
  <w:style w:type="paragraph" w:styleId="Sinespaciado">
    <w:name w:val="No Spacing"/>
    <w:uiPriority w:val="1"/>
    <w:qFormat/>
    <w:rsid w:val="004F3E5D"/>
    <w:rPr>
      <w:rFonts w:ascii="Calibri" w:hAnsi="Calibri"/>
      <w:sz w:val="22"/>
      <w:szCs w:val="22"/>
    </w:rPr>
  </w:style>
  <w:style w:type="table" w:customStyle="1" w:styleId="Sombreadoclaro-nfasis12">
    <w:name w:val="Sombreado claro - Énfasis 12"/>
    <w:basedOn w:val="Tablanormal"/>
    <w:uiPriority w:val="60"/>
    <w:rsid w:val="006B410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ps">
    <w:name w:val="hps"/>
    <w:rsid w:val="00922099"/>
  </w:style>
  <w:style w:type="character" w:customStyle="1" w:styleId="shorttext">
    <w:name w:val="short_text"/>
    <w:rsid w:val="00456399"/>
  </w:style>
  <w:style w:type="paragraph" w:styleId="Textonotapie">
    <w:name w:val="footnote text"/>
    <w:basedOn w:val="Normal"/>
    <w:link w:val="TextonotapieCar"/>
    <w:uiPriority w:val="99"/>
    <w:unhideWhenUsed/>
    <w:rsid w:val="00EA1816"/>
    <w:rPr>
      <w:rFonts w:ascii="Calibri" w:eastAsia="Calibri" w:hAnsi="Calibri"/>
      <w:sz w:val="20"/>
      <w:szCs w:val="20"/>
      <w:lang w:eastAsia="en-US"/>
    </w:rPr>
  </w:style>
  <w:style w:type="character" w:customStyle="1" w:styleId="TextonotapieCar">
    <w:name w:val="Texto nota pie Car"/>
    <w:link w:val="Textonotapie"/>
    <w:uiPriority w:val="99"/>
    <w:rsid w:val="00EA1816"/>
    <w:rPr>
      <w:rFonts w:ascii="Calibri" w:eastAsia="Calibri" w:hAnsi="Calibri"/>
      <w:lang w:eastAsia="en-US"/>
    </w:rPr>
  </w:style>
  <w:style w:type="character" w:styleId="Refdenotaalpie">
    <w:name w:val="footnote reference"/>
    <w:uiPriority w:val="99"/>
    <w:unhideWhenUsed/>
    <w:rsid w:val="00EA1816"/>
    <w:rPr>
      <w:vertAlign w:val="superscript"/>
    </w:rPr>
  </w:style>
  <w:style w:type="character" w:styleId="Textoennegrita">
    <w:name w:val="Strong"/>
    <w:qFormat/>
    <w:rsid w:val="00D8743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28537">
      <w:bodyDiv w:val="1"/>
      <w:marLeft w:val="0"/>
      <w:marRight w:val="0"/>
      <w:marTop w:val="0"/>
      <w:marBottom w:val="0"/>
      <w:divBdr>
        <w:top w:val="none" w:sz="0" w:space="0" w:color="auto"/>
        <w:left w:val="none" w:sz="0" w:space="0" w:color="auto"/>
        <w:bottom w:val="none" w:sz="0" w:space="0" w:color="auto"/>
        <w:right w:val="none" w:sz="0" w:space="0" w:color="auto"/>
      </w:divBdr>
    </w:div>
    <w:div w:id="465779494">
      <w:bodyDiv w:val="1"/>
      <w:marLeft w:val="0"/>
      <w:marRight w:val="0"/>
      <w:marTop w:val="0"/>
      <w:marBottom w:val="0"/>
      <w:divBdr>
        <w:top w:val="none" w:sz="0" w:space="0" w:color="auto"/>
        <w:left w:val="none" w:sz="0" w:space="0" w:color="auto"/>
        <w:bottom w:val="none" w:sz="0" w:space="0" w:color="auto"/>
        <w:right w:val="none" w:sz="0" w:space="0" w:color="auto"/>
      </w:divBdr>
    </w:div>
    <w:div w:id="597835311">
      <w:bodyDiv w:val="1"/>
      <w:marLeft w:val="0"/>
      <w:marRight w:val="0"/>
      <w:marTop w:val="0"/>
      <w:marBottom w:val="0"/>
      <w:divBdr>
        <w:top w:val="none" w:sz="0" w:space="0" w:color="auto"/>
        <w:left w:val="none" w:sz="0" w:space="0" w:color="auto"/>
        <w:bottom w:val="none" w:sz="0" w:space="0" w:color="auto"/>
        <w:right w:val="none" w:sz="0" w:space="0" w:color="auto"/>
      </w:divBdr>
      <w:divsChild>
        <w:div w:id="685061498">
          <w:marLeft w:val="0"/>
          <w:marRight w:val="0"/>
          <w:marTop w:val="0"/>
          <w:marBottom w:val="0"/>
          <w:divBdr>
            <w:top w:val="none" w:sz="0" w:space="0" w:color="auto"/>
            <w:left w:val="none" w:sz="0" w:space="0" w:color="auto"/>
            <w:bottom w:val="none" w:sz="0" w:space="0" w:color="auto"/>
            <w:right w:val="none" w:sz="0" w:space="0" w:color="auto"/>
          </w:divBdr>
          <w:divsChild>
            <w:div w:id="195893611">
              <w:marLeft w:val="0"/>
              <w:marRight w:val="0"/>
              <w:marTop w:val="0"/>
              <w:marBottom w:val="0"/>
              <w:divBdr>
                <w:top w:val="none" w:sz="0" w:space="0" w:color="auto"/>
                <w:left w:val="none" w:sz="0" w:space="0" w:color="auto"/>
                <w:bottom w:val="none" w:sz="0" w:space="0" w:color="auto"/>
                <w:right w:val="none" w:sz="0" w:space="0" w:color="auto"/>
              </w:divBdr>
              <w:divsChild>
                <w:div w:id="187322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75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DD110-3D26-4903-BC1D-EB8EB9BC8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5966</Words>
  <Characters>32818</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Luis</dc:creator>
  <cp:keywords/>
  <cp:lastModifiedBy>Erick</cp:lastModifiedBy>
  <cp:revision>2</cp:revision>
  <cp:lastPrinted>2017-07-03T21:59:00Z</cp:lastPrinted>
  <dcterms:created xsi:type="dcterms:W3CDTF">2018-02-27T04:56:00Z</dcterms:created>
  <dcterms:modified xsi:type="dcterms:W3CDTF">2018-02-27T04:56:00Z</dcterms:modified>
</cp:coreProperties>
</file>